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DC56" w14:textId="77777777" w:rsidR="00424D8C" w:rsidRDefault="00424D8C" w:rsidP="00424D8C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B5185C">
        <w:rPr>
          <w:b/>
          <w:bCs/>
          <w:sz w:val="32"/>
          <w:szCs w:val="32"/>
        </w:rPr>
        <w:t>Vzorov</w:t>
      </w:r>
      <w:r>
        <w:rPr>
          <w:b/>
          <w:bCs/>
          <w:sz w:val="32"/>
          <w:szCs w:val="32"/>
        </w:rPr>
        <w:t>á</w:t>
      </w:r>
      <w:r w:rsidRPr="00B5185C">
        <w:rPr>
          <w:b/>
          <w:bCs/>
          <w:sz w:val="32"/>
          <w:szCs w:val="32"/>
        </w:rPr>
        <w:t xml:space="preserve"> textace</w:t>
      </w:r>
      <w:r w:rsidRPr="00B5185C">
        <w:rPr>
          <w:b/>
          <w:bCs/>
          <w:i/>
          <w:iCs/>
          <w:sz w:val="24"/>
          <w:szCs w:val="24"/>
        </w:rPr>
        <w:t xml:space="preserve"> </w:t>
      </w:r>
    </w:p>
    <w:p w14:paraId="6055B884" w14:textId="77777777" w:rsidR="00424D8C" w:rsidRPr="00B5185C" w:rsidRDefault="00424D8C" w:rsidP="00424D8C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539481A9" w14:textId="2B020680" w:rsidR="00424D8C" w:rsidRDefault="00424D8C" w:rsidP="00424D8C">
      <w:pPr>
        <w:spacing w:after="0" w:line="240" w:lineRule="auto"/>
        <w:jc w:val="both"/>
        <w:rPr>
          <w:i/>
          <w:iCs/>
        </w:rPr>
      </w:pPr>
      <w:r w:rsidRPr="00AA3403">
        <w:rPr>
          <w:i/>
          <w:iCs/>
        </w:rPr>
        <w:t>Vzorovou textaci lze využít</w:t>
      </w:r>
      <w:r w:rsidR="00D94AD1">
        <w:rPr>
          <w:i/>
          <w:iCs/>
        </w:rPr>
        <w:t>,</w:t>
      </w:r>
      <w:r w:rsidRPr="00AA3403">
        <w:rPr>
          <w:i/>
          <w:iCs/>
        </w:rPr>
        <w:t xml:space="preserve"> pouze pokud to je možné vzhledem k povaze a smyslu předmětu plnění veřejné zakázky.</w:t>
      </w:r>
      <w:r>
        <w:t xml:space="preserve"> </w:t>
      </w:r>
      <w:r w:rsidRPr="00B5185C">
        <w:rPr>
          <w:i/>
          <w:iCs/>
        </w:rPr>
        <w:t xml:space="preserve">Zadavatel </w:t>
      </w:r>
      <w:r>
        <w:rPr>
          <w:i/>
          <w:iCs/>
        </w:rPr>
        <w:t xml:space="preserve">také </w:t>
      </w:r>
      <w:r w:rsidRPr="00B5185C">
        <w:rPr>
          <w:i/>
          <w:iCs/>
        </w:rPr>
        <w:t xml:space="preserve">musí </w:t>
      </w:r>
      <w:r>
        <w:rPr>
          <w:i/>
          <w:iCs/>
        </w:rPr>
        <w:t xml:space="preserve">vždy </w:t>
      </w:r>
      <w:r w:rsidRPr="00B5185C">
        <w:rPr>
          <w:i/>
          <w:iCs/>
        </w:rPr>
        <w:t>zvážit, zda je vhodnější</w:t>
      </w:r>
      <w:r>
        <w:rPr>
          <w:i/>
          <w:iCs/>
        </w:rPr>
        <w:t>, účelnější či efektivnější</w:t>
      </w:r>
      <w:r w:rsidRPr="00B5185C">
        <w:rPr>
          <w:i/>
          <w:iCs/>
        </w:rPr>
        <w:t xml:space="preserve"> aspekty </w:t>
      </w:r>
      <w:r>
        <w:rPr>
          <w:i/>
          <w:iCs/>
        </w:rPr>
        <w:t>odpovědného veřejného zadávání</w:t>
      </w:r>
      <w:r w:rsidRPr="00B5185C">
        <w:rPr>
          <w:i/>
          <w:iCs/>
        </w:rPr>
        <w:t xml:space="preserve"> uplatnit jako podmínku účasti </w:t>
      </w:r>
      <w:r>
        <w:rPr>
          <w:i/>
          <w:iCs/>
        </w:rPr>
        <w:t xml:space="preserve">v zadávacím řízení ve smyslu § 37 ZZVZ </w:t>
      </w:r>
      <w:r w:rsidRPr="00B5185C">
        <w:rPr>
          <w:i/>
          <w:iCs/>
        </w:rPr>
        <w:t xml:space="preserve">nebo </w:t>
      </w:r>
      <w:r>
        <w:rPr>
          <w:i/>
          <w:iCs/>
        </w:rPr>
        <w:t>formou</w:t>
      </w:r>
      <w:r w:rsidRPr="00B5185C">
        <w:rPr>
          <w:i/>
          <w:iCs/>
        </w:rPr>
        <w:t> hodnocení</w:t>
      </w:r>
      <w:r>
        <w:rPr>
          <w:i/>
          <w:iCs/>
        </w:rPr>
        <w:t xml:space="preserve"> nabídek ve smyslu § 114 a násl. ZZVZ</w:t>
      </w:r>
      <w:r w:rsidRPr="00B5185C">
        <w:rPr>
          <w:i/>
          <w:iCs/>
        </w:rPr>
        <w:t xml:space="preserve">. </w:t>
      </w:r>
      <w:r w:rsidRPr="00B5185C">
        <w:rPr>
          <w:b/>
          <w:bCs/>
          <w:i/>
          <w:iCs/>
        </w:rPr>
        <w:t xml:space="preserve">Textace je </w:t>
      </w:r>
      <w:r>
        <w:rPr>
          <w:b/>
          <w:bCs/>
          <w:i/>
          <w:iCs/>
        </w:rPr>
        <w:t>nutné</w:t>
      </w:r>
      <w:r w:rsidRPr="00B5185C">
        <w:rPr>
          <w:b/>
          <w:bCs/>
          <w:i/>
          <w:iCs/>
        </w:rPr>
        <w:t xml:space="preserve"> podle potřeby přizpůsobit povaze a předmětu plnění konkrétní veřejné zakázky a jejímu rozsahu.</w:t>
      </w:r>
      <w:r w:rsidRPr="00B5185C">
        <w:rPr>
          <w:i/>
          <w:iCs/>
        </w:rPr>
        <w:t xml:space="preserve"> I když byly textace pečlivě promýšleny, autoři </w:t>
      </w:r>
      <w:r>
        <w:rPr>
          <w:i/>
          <w:iCs/>
        </w:rPr>
        <w:t xml:space="preserve">nepřebírají a ani </w:t>
      </w:r>
      <w:r w:rsidRPr="00B5185C">
        <w:rPr>
          <w:i/>
          <w:iCs/>
        </w:rPr>
        <w:t xml:space="preserve">nemohou přebírat odpovědnost v souvislosti s konkrétními případy, </w:t>
      </w:r>
      <w:r>
        <w:rPr>
          <w:i/>
          <w:iCs/>
        </w:rPr>
        <w:t xml:space="preserve">ve </w:t>
      </w:r>
      <w:r w:rsidRPr="00B5185C">
        <w:rPr>
          <w:i/>
          <w:iCs/>
        </w:rPr>
        <w:t>kter</w:t>
      </w:r>
      <w:r>
        <w:rPr>
          <w:i/>
          <w:iCs/>
        </w:rPr>
        <w:t xml:space="preserve">ých byly </w:t>
      </w:r>
      <w:r w:rsidRPr="00B5185C">
        <w:rPr>
          <w:i/>
          <w:iCs/>
        </w:rPr>
        <w:t>uvedeny nebo pro které bud</w:t>
      </w:r>
      <w:r>
        <w:rPr>
          <w:i/>
          <w:iCs/>
        </w:rPr>
        <w:t>o</w:t>
      </w:r>
      <w:r w:rsidRPr="00B5185C">
        <w:rPr>
          <w:i/>
          <w:iCs/>
        </w:rPr>
        <w:t>u textace využity.</w:t>
      </w:r>
    </w:p>
    <w:p w14:paraId="07C01466" w14:textId="77777777" w:rsidR="00DA5ACF" w:rsidRDefault="00DA5ACF" w:rsidP="00424D8C">
      <w:pPr>
        <w:spacing w:after="0" w:line="240" w:lineRule="auto"/>
        <w:jc w:val="both"/>
        <w:rPr>
          <w:i/>
          <w:i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5A4C2A" w14:paraId="7864D72C" w14:textId="77777777" w:rsidTr="00FD6E7A">
        <w:tc>
          <w:tcPr>
            <w:tcW w:w="2972" w:type="dxa"/>
            <w:vMerge w:val="restart"/>
          </w:tcPr>
          <w:p w14:paraId="23A97AC8" w14:textId="77777777" w:rsidR="005A4C2A" w:rsidRDefault="005A4C2A" w:rsidP="00365D46">
            <w:pPr>
              <w:rPr>
                <w:b/>
                <w:bCs/>
                <w:sz w:val="24"/>
                <w:szCs w:val="24"/>
              </w:rPr>
            </w:pPr>
            <w:r w:rsidRPr="003C351B">
              <w:rPr>
                <w:b/>
                <w:bCs/>
                <w:sz w:val="24"/>
                <w:szCs w:val="24"/>
              </w:rPr>
              <w:t>Předmět plnění</w:t>
            </w:r>
          </w:p>
        </w:tc>
        <w:tc>
          <w:tcPr>
            <w:tcW w:w="6237" w:type="dxa"/>
          </w:tcPr>
          <w:p w14:paraId="37D819DC" w14:textId="47006EE6" w:rsidR="005A4C2A" w:rsidRPr="00123D62" w:rsidRDefault="00EB5FD7" w:rsidP="00FD6E7A">
            <w:pPr>
              <w:rPr>
                <w:b/>
                <w:bCs/>
                <w:sz w:val="24"/>
                <w:szCs w:val="24"/>
              </w:rPr>
            </w:pPr>
            <w:hyperlink r:id="rId11" w:history="1">
              <w:r w:rsidR="005A4C2A" w:rsidRPr="005A4C2A">
                <w:rPr>
                  <w:rStyle w:val="Hypertextovodkaz"/>
                  <w:b/>
                  <w:bCs/>
                  <w:sz w:val="24"/>
                  <w:szCs w:val="24"/>
                </w:rPr>
                <w:t>Stravování</w:t>
              </w:r>
            </w:hyperlink>
            <w:r w:rsidR="005A4C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4C2A" w14:paraId="214BDE64" w14:textId="77777777" w:rsidTr="00FD6E7A">
        <w:tc>
          <w:tcPr>
            <w:tcW w:w="2972" w:type="dxa"/>
            <w:vMerge/>
          </w:tcPr>
          <w:p w14:paraId="1A0FB0C6" w14:textId="77777777" w:rsidR="005A4C2A" w:rsidRPr="003C351B" w:rsidRDefault="005A4C2A" w:rsidP="0036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6FD5FAA" w14:textId="11147244" w:rsidR="005A4C2A" w:rsidRDefault="00EB5FD7" w:rsidP="00FD6E7A">
            <w:pPr>
              <w:rPr>
                <w:b/>
                <w:bCs/>
                <w:sz w:val="24"/>
                <w:szCs w:val="24"/>
              </w:rPr>
            </w:pPr>
            <w:hyperlink r:id="rId12" w:history="1">
              <w:r w:rsidR="005A4C2A" w:rsidRPr="005A4C2A">
                <w:rPr>
                  <w:rStyle w:val="Hypertextovodkaz"/>
                  <w:b/>
                  <w:bCs/>
                  <w:sz w:val="24"/>
                  <w:szCs w:val="24"/>
                </w:rPr>
                <w:t>Pořádání konferencí, seminářů a akcí udržitelně</w:t>
              </w:r>
            </w:hyperlink>
          </w:p>
        </w:tc>
      </w:tr>
      <w:tr w:rsidR="00424D8C" w14:paraId="2D2BAAFA" w14:textId="77777777" w:rsidTr="00FD6E7A">
        <w:trPr>
          <w:trHeight w:val="235"/>
        </w:trPr>
        <w:tc>
          <w:tcPr>
            <w:tcW w:w="2972" w:type="dxa"/>
          </w:tcPr>
          <w:p w14:paraId="4F9FB369" w14:textId="77777777" w:rsidR="00424D8C" w:rsidRDefault="00424D8C" w:rsidP="00365D46">
            <w:pPr>
              <w:rPr>
                <w:b/>
                <w:bCs/>
                <w:sz w:val="24"/>
                <w:szCs w:val="24"/>
              </w:rPr>
            </w:pPr>
            <w:r w:rsidRPr="003C351B">
              <w:rPr>
                <w:b/>
                <w:bCs/>
                <w:sz w:val="24"/>
                <w:szCs w:val="24"/>
              </w:rPr>
              <w:t>Uplatněná příležitost</w:t>
            </w:r>
          </w:p>
        </w:tc>
        <w:tc>
          <w:tcPr>
            <w:tcW w:w="6237" w:type="dxa"/>
          </w:tcPr>
          <w:p w14:paraId="3CB2A9DF" w14:textId="22715E03" w:rsidR="00424D8C" w:rsidRPr="00123D62" w:rsidRDefault="00EB5FD7" w:rsidP="00365D46">
            <w:pPr>
              <w:rPr>
                <w:b/>
                <w:bCs/>
                <w:sz w:val="24"/>
                <w:szCs w:val="24"/>
              </w:rPr>
            </w:pPr>
            <w:hyperlink r:id="rId13" w:history="1">
              <w:r w:rsidR="00424D8C" w:rsidRPr="00E0719D">
                <w:rPr>
                  <w:rStyle w:val="Hypertextovodkaz"/>
                  <w:b/>
                  <w:bCs/>
                  <w:sz w:val="24"/>
                  <w:szCs w:val="24"/>
                </w:rPr>
                <w:t>Ekologicky šetrná řešení</w:t>
              </w:r>
            </w:hyperlink>
          </w:p>
        </w:tc>
      </w:tr>
    </w:tbl>
    <w:p w14:paraId="7F4AFFEC" w14:textId="73AB914C" w:rsidR="00424D8C" w:rsidRDefault="00424D8C" w:rsidP="00424D8C">
      <w:pPr>
        <w:spacing w:after="0" w:line="240" w:lineRule="auto"/>
        <w:jc w:val="both"/>
      </w:pPr>
    </w:p>
    <w:p w14:paraId="635DD8CD" w14:textId="16C28807" w:rsidR="00D66D32" w:rsidRDefault="00424D8C" w:rsidP="006D3DDF">
      <w:pPr>
        <w:spacing w:after="0" w:line="240" w:lineRule="auto"/>
        <w:rPr>
          <w:rFonts w:cstheme="minorHAnsi"/>
        </w:rPr>
      </w:pPr>
      <w:r w:rsidRPr="004314DF">
        <w:rPr>
          <w:rFonts w:cstheme="minorHAnsi"/>
          <w:b/>
          <w:bCs/>
        </w:rPr>
        <w:t xml:space="preserve">Sezónní </w:t>
      </w:r>
      <w:r w:rsidR="00E73AE0">
        <w:rPr>
          <w:rFonts w:cstheme="minorHAnsi"/>
          <w:b/>
          <w:bCs/>
        </w:rPr>
        <w:t>produkci</w:t>
      </w:r>
      <w:r w:rsidRPr="00424D8C">
        <w:rPr>
          <w:rFonts w:cstheme="minorHAnsi"/>
        </w:rPr>
        <w:t xml:space="preserve"> lze</w:t>
      </w:r>
      <w:r w:rsidR="00DA5B46">
        <w:rPr>
          <w:rFonts w:cstheme="minorHAnsi"/>
        </w:rPr>
        <w:t>,</w:t>
      </w:r>
      <w:r w:rsidRPr="00424D8C">
        <w:rPr>
          <w:rFonts w:cstheme="minorHAnsi"/>
        </w:rPr>
        <w:t xml:space="preserve"> v souladu s </w:t>
      </w:r>
      <w:hyperlink r:id="rId14" w:history="1">
        <w:r w:rsidRPr="004314DF">
          <w:rPr>
            <w:rStyle w:val="Hypertextovodkaz"/>
            <w:rFonts w:cstheme="minorHAnsi"/>
            <w:color w:val="auto"/>
            <w:u w:val="none"/>
          </w:rPr>
          <w:t>GPP kritér</w:t>
        </w:r>
        <w:r w:rsidR="00D74BA1" w:rsidRPr="004314DF">
          <w:rPr>
            <w:rStyle w:val="Hypertextovodkaz"/>
            <w:rFonts w:cstheme="minorHAnsi"/>
            <w:color w:val="auto"/>
            <w:u w:val="none"/>
          </w:rPr>
          <w:t>i</w:t>
        </w:r>
        <w:r w:rsidRPr="004314DF">
          <w:rPr>
            <w:rStyle w:val="Hypertextovodkaz"/>
            <w:rFonts w:cstheme="minorHAnsi"/>
            <w:color w:val="auto"/>
            <w:u w:val="none"/>
          </w:rPr>
          <w:t>i</w:t>
        </w:r>
      </w:hyperlink>
      <w:r w:rsidR="00D74BA1" w:rsidRPr="00D74BA1">
        <w:rPr>
          <w:rStyle w:val="Hypertextovodkaz"/>
          <w:rFonts w:cstheme="minorHAnsi"/>
          <w:color w:val="auto"/>
          <w:u w:val="none"/>
        </w:rPr>
        <w:t xml:space="preserve"> Evropské komise</w:t>
      </w:r>
      <w:r w:rsidRPr="00424D8C">
        <w:rPr>
          <w:rFonts w:cstheme="minorHAnsi"/>
        </w:rPr>
        <w:t> pro oblast občerstvení a stravování, aktualizovanými v roce 2019, požadovat v rámci veřejných zakázek</w:t>
      </w:r>
      <w:r w:rsidR="004314DF">
        <w:rPr>
          <w:rFonts w:cstheme="minorHAnsi"/>
        </w:rPr>
        <w:t xml:space="preserve"> </w:t>
      </w:r>
      <w:r w:rsidR="00DA5B46">
        <w:rPr>
          <w:rFonts w:cstheme="minorHAnsi"/>
        </w:rPr>
        <w:t xml:space="preserve">coby jeden z </w:t>
      </w:r>
      <w:r w:rsidR="004314DF">
        <w:rPr>
          <w:rFonts w:cstheme="minorHAnsi"/>
        </w:rPr>
        <w:t>ekologicky šetrný</w:t>
      </w:r>
      <w:r w:rsidR="00DA5B46">
        <w:rPr>
          <w:rFonts w:cstheme="minorHAnsi"/>
        </w:rPr>
        <w:t>ch</w:t>
      </w:r>
      <w:r w:rsidR="004314DF">
        <w:rPr>
          <w:rFonts w:cstheme="minorHAnsi"/>
        </w:rPr>
        <w:t xml:space="preserve"> aspekt</w:t>
      </w:r>
      <w:r w:rsidR="00DA5B46">
        <w:rPr>
          <w:rFonts w:cstheme="minorHAnsi"/>
        </w:rPr>
        <w:t>ů</w:t>
      </w:r>
      <w:r w:rsidR="00D74BA1">
        <w:rPr>
          <w:rFonts w:cstheme="minorHAnsi"/>
        </w:rPr>
        <w:t xml:space="preserve">. </w:t>
      </w:r>
      <w:r w:rsidR="00146A0B" w:rsidRPr="00762C1A">
        <w:rPr>
          <w:rFonts w:cstheme="minorHAnsi"/>
        </w:rPr>
        <w:t>Jedním z důvodů preference sezónní produkce je přirozenější způsob dozrávání ovoce a zeleniny</w:t>
      </w:r>
      <w:r w:rsidR="00C71C3E" w:rsidRPr="00762C1A">
        <w:rPr>
          <w:rFonts w:cstheme="minorHAnsi"/>
        </w:rPr>
        <w:t>, požadování sezónní produkce, která byla pěstována a spotřebována ve stejném klimatickém pásmu, může vést k udržitelnějším spotřebním vzorcům</w:t>
      </w:r>
      <w:r w:rsidR="001437DB" w:rsidRPr="00762C1A">
        <w:rPr>
          <w:rFonts w:cstheme="minorHAnsi"/>
        </w:rPr>
        <w:t>.</w:t>
      </w:r>
      <w:r w:rsidR="00D66D32" w:rsidRPr="00762C1A">
        <w:rPr>
          <w:rFonts w:cstheme="minorHAnsi"/>
        </w:rPr>
        <w:t xml:space="preserve"> Nicméně důležité </w:t>
      </w:r>
      <w:r w:rsidR="00E20A42" w:rsidRPr="00762C1A">
        <w:rPr>
          <w:rFonts w:cstheme="minorHAnsi"/>
        </w:rPr>
        <w:t>zůstává</w:t>
      </w:r>
      <w:r w:rsidR="00D66D32" w:rsidRPr="00762C1A">
        <w:rPr>
          <w:rFonts w:cstheme="minorHAnsi"/>
        </w:rPr>
        <w:t xml:space="preserve"> nakolik environmentálně šetrný je zemědělský systém, v jehož rámci bylo ovoce či zelenina vypěstováno.</w:t>
      </w:r>
      <w:r w:rsidR="00070E65" w:rsidRPr="00762C1A">
        <w:rPr>
          <w:rFonts w:cstheme="minorHAnsi"/>
        </w:rPr>
        <w:t xml:space="preserve"> </w:t>
      </w:r>
      <w:r w:rsidR="00D66D32" w:rsidRPr="00762C1A">
        <w:rPr>
          <w:rFonts w:cstheme="minorHAnsi"/>
        </w:rPr>
        <w:t>Pro</w:t>
      </w:r>
      <w:r w:rsidR="005A4C2A" w:rsidRPr="00762C1A">
        <w:rPr>
          <w:rFonts w:cstheme="minorHAnsi"/>
        </w:rPr>
        <w:t xml:space="preserve">to je vhodné </w:t>
      </w:r>
      <w:r w:rsidR="00C53D44" w:rsidRPr="00762C1A">
        <w:rPr>
          <w:rFonts w:cstheme="minorHAnsi"/>
        </w:rPr>
        <w:t>ve veřejných zakázkách na</w:t>
      </w:r>
      <w:r w:rsidR="005A4C2A" w:rsidRPr="00762C1A">
        <w:rPr>
          <w:rFonts w:cstheme="minorHAnsi"/>
        </w:rPr>
        <w:t xml:space="preserve"> potravin</w:t>
      </w:r>
      <w:r w:rsidR="00C53D44" w:rsidRPr="00762C1A">
        <w:rPr>
          <w:rFonts w:cstheme="minorHAnsi"/>
        </w:rPr>
        <w:t>y</w:t>
      </w:r>
      <w:r w:rsidR="005A4C2A" w:rsidRPr="00762C1A">
        <w:rPr>
          <w:rFonts w:cstheme="minorHAnsi"/>
        </w:rPr>
        <w:t xml:space="preserve"> nespoléhat na jediný aspekt, ale využít </w:t>
      </w:r>
      <w:r w:rsidR="00C53D44" w:rsidRPr="00762C1A">
        <w:rPr>
          <w:rFonts w:cstheme="minorHAnsi"/>
        </w:rPr>
        <w:t xml:space="preserve">širší </w:t>
      </w:r>
      <w:r w:rsidR="005A4C2A" w:rsidRPr="00762C1A">
        <w:rPr>
          <w:rFonts w:cstheme="minorHAnsi"/>
        </w:rPr>
        <w:t xml:space="preserve">kombinace požadavků či hodnotících kritérií, které mohou lépe </w:t>
      </w:r>
      <w:r w:rsidR="00C53D44" w:rsidRPr="00762C1A">
        <w:rPr>
          <w:rFonts w:cstheme="minorHAnsi"/>
        </w:rPr>
        <w:t>zajistit</w:t>
      </w:r>
      <w:r w:rsidR="005A4C2A" w:rsidRPr="00762C1A">
        <w:rPr>
          <w:rFonts w:cstheme="minorHAnsi"/>
        </w:rPr>
        <w:t xml:space="preserve"> udržitelnější potravin</w:t>
      </w:r>
      <w:r w:rsidR="00C53D44" w:rsidRPr="00762C1A">
        <w:rPr>
          <w:rFonts w:cstheme="minorHAnsi"/>
        </w:rPr>
        <w:t>y pro</w:t>
      </w:r>
      <w:r w:rsidR="005A4C2A" w:rsidRPr="00762C1A">
        <w:rPr>
          <w:rFonts w:cstheme="minorHAnsi"/>
        </w:rPr>
        <w:t xml:space="preserve"> stravovací zařízení veřejných zadavatelů (škol</w:t>
      </w:r>
      <w:r w:rsidR="00C53D44" w:rsidRPr="00762C1A">
        <w:rPr>
          <w:rFonts w:cstheme="minorHAnsi"/>
        </w:rPr>
        <w:t>y</w:t>
      </w:r>
      <w:r w:rsidR="005A4C2A" w:rsidRPr="00762C1A">
        <w:rPr>
          <w:rFonts w:cstheme="minorHAnsi"/>
        </w:rPr>
        <w:t>, nemocnic</w:t>
      </w:r>
      <w:r w:rsidR="00C53D44" w:rsidRPr="00762C1A">
        <w:rPr>
          <w:rFonts w:cstheme="minorHAnsi"/>
        </w:rPr>
        <w:t>e</w:t>
      </w:r>
      <w:r w:rsidR="005A4C2A" w:rsidRPr="00762C1A">
        <w:rPr>
          <w:rFonts w:cstheme="minorHAnsi"/>
        </w:rPr>
        <w:t>, pečovatelsk</w:t>
      </w:r>
      <w:r w:rsidR="00C53D44" w:rsidRPr="00762C1A">
        <w:rPr>
          <w:rFonts w:cstheme="minorHAnsi"/>
        </w:rPr>
        <w:t>é</w:t>
      </w:r>
      <w:r w:rsidR="005A4C2A" w:rsidRPr="00762C1A">
        <w:rPr>
          <w:rFonts w:cstheme="minorHAnsi"/>
        </w:rPr>
        <w:t xml:space="preserve"> domov</w:t>
      </w:r>
      <w:r w:rsidR="00C53D44" w:rsidRPr="00762C1A">
        <w:rPr>
          <w:rFonts w:cstheme="minorHAnsi"/>
        </w:rPr>
        <w:t>y</w:t>
      </w:r>
      <w:r w:rsidR="005A4C2A" w:rsidRPr="00762C1A">
        <w:rPr>
          <w:rFonts w:cstheme="minorHAnsi"/>
        </w:rPr>
        <w:t>, věznic</w:t>
      </w:r>
      <w:r w:rsidR="00C53D44" w:rsidRPr="00762C1A">
        <w:rPr>
          <w:rFonts w:cstheme="minorHAnsi"/>
        </w:rPr>
        <w:t>e</w:t>
      </w:r>
      <w:r w:rsidR="005A4C2A" w:rsidRPr="00762C1A">
        <w:rPr>
          <w:rFonts w:cstheme="minorHAnsi"/>
        </w:rPr>
        <w:t xml:space="preserve"> apod.) a přispět tak prostřednictvím veřejného zadávání k udržitelnějším potravinovým systémům</w:t>
      </w:r>
      <w:r w:rsidR="003F6438" w:rsidRPr="00762C1A">
        <w:rPr>
          <w:rStyle w:val="Znakapoznpodarou"/>
          <w:rFonts w:cstheme="minorHAnsi"/>
        </w:rPr>
        <w:footnoteReference w:id="1"/>
      </w:r>
      <w:r w:rsidR="005A4C2A" w:rsidRPr="00762C1A">
        <w:rPr>
          <w:rFonts w:cstheme="minorHAnsi"/>
        </w:rPr>
        <w:t>.</w:t>
      </w:r>
      <w:r w:rsidR="00E41288">
        <w:rPr>
          <w:rFonts w:cstheme="minorHAnsi"/>
        </w:rPr>
        <w:t xml:space="preserve"> </w:t>
      </w:r>
    </w:p>
    <w:p w14:paraId="67C22518" w14:textId="77777777" w:rsidR="00D66D32" w:rsidRDefault="00D66D32" w:rsidP="006D3DDF">
      <w:pPr>
        <w:spacing w:after="0" w:line="240" w:lineRule="auto"/>
        <w:rPr>
          <w:rFonts w:cstheme="minorHAnsi"/>
        </w:rPr>
      </w:pPr>
    </w:p>
    <w:p w14:paraId="49B1174B" w14:textId="3C2F8F18" w:rsidR="00AE4BED" w:rsidRPr="001437DB" w:rsidRDefault="00EB5FD7" w:rsidP="00BF63F7">
      <w:pPr>
        <w:shd w:val="clear" w:color="auto" w:fill="D6E3BC" w:themeFill="accent3" w:themeFillTint="66"/>
        <w:spacing w:after="0" w:line="240" w:lineRule="auto"/>
        <w:rPr>
          <w:rFonts w:eastAsia="Times New Roman" w:cstheme="minorHAnsi"/>
        </w:rPr>
      </w:pPr>
      <w:hyperlink r:id="rId15" w:history="1">
        <w:r w:rsidR="00C71C3E">
          <w:rPr>
            <w:rStyle w:val="Hypertextovodkaz"/>
            <w:rFonts w:cstheme="minorHAnsi"/>
          </w:rPr>
          <w:t>K</w:t>
        </w:r>
        <w:r w:rsidR="00070E65" w:rsidRPr="00070E65">
          <w:rPr>
            <w:rStyle w:val="Hypertextovodkaz"/>
            <w:rFonts w:cstheme="minorHAnsi"/>
          </w:rPr>
          <w:t>ritéria pro zadávání zelených veřejných zakázek v EU pro stravování, stravovací služby a prodejní automaty, tzv.</w:t>
        </w:r>
        <w:r w:rsidR="00B7149A" w:rsidRPr="00070E65">
          <w:rPr>
            <w:rStyle w:val="Hypertextovodkaz"/>
            <w:rFonts w:cstheme="minorHAnsi"/>
          </w:rPr>
          <w:t xml:space="preserve"> </w:t>
        </w:r>
        <w:r w:rsidR="00070E65" w:rsidRPr="00070E65">
          <w:rPr>
            <w:rStyle w:val="Hypertextovodkaz"/>
          </w:rPr>
          <w:t>GPP kritéria</w:t>
        </w:r>
      </w:hyperlink>
      <w:r w:rsidR="00D74BA1">
        <w:rPr>
          <w:rFonts w:cstheme="minorHAnsi"/>
        </w:rPr>
        <w:t xml:space="preserve"> </w:t>
      </w:r>
      <w:r w:rsidR="00146A0B">
        <w:rPr>
          <w:rFonts w:cstheme="minorHAnsi"/>
        </w:rPr>
        <w:t xml:space="preserve">na </w:t>
      </w:r>
      <w:r w:rsidR="00146A0B" w:rsidRPr="001A6AC9">
        <w:rPr>
          <w:rStyle w:val="Hypertextovodkaz"/>
          <w:rFonts w:cstheme="minorHAnsi"/>
          <w:color w:val="auto"/>
          <w:u w:val="none"/>
        </w:rPr>
        <w:t>str. 21</w:t>
      </w:r>
      <w:r w:rsidR="00146A0B">
        <w:rPr>
          <w:rStyle w:val="Hypertextovodkaz"/>
          <w:rFonts w:cstheme="minorHAnsi"/>
          <w:color w:val="auto"/>
          <w:u w:val="none"/>
        </w:rPr>
        <w:t xml:space="preserve"> </w:t>
      </w:r>
      <w:r w:rsidR="00D74BA1">
        <w:rPr>
          <w:rFonts w:cstheme="minorHAnsi"/>
        </w:rPr>
        <w:t>uvád</w:t>
      </w:r>
      <w:r w:rsidR="00603731">
        <w:rPr>
          <w:rFonts w:cstheme="minorHAnsi"/>
        </w:rPr>
        <w:t>ějí</w:t>
      </w:r>
      <w:r w:rsidR="006D3DDF">
        <w:rPr>
          <w:rFonts w:cstheme="minorHAnsi"/>
        </w:rPr>
        <w:t xml:space="preserve">: </w:t>
      </w:r>
      <w:r w:rsidR="001437DB">
        <w:rPr>
          <w:rFonts w:cstheme="minorHAnsi"/>
        </w:rPr>
        <w:t>„</w:t>
      </w:r>
      <w:r w:rsidR="00AE4BED" w:rsidRPr="001437DB">
        <w:rPr>
          <w:rFonts w:cstheme="minorHAnsi"/>
        </w:rPr>
        <w:t xml:space="preserve">Sezónní produkce má na životní prostředí, zdraví, hospodářství a společnost různé dopady v závislosti na regionech, odkud výrobky pocházejí a kde jsou spotřebovány. </w:t>
      </w:r>
      <w:r w:rsidR="00AE4BED" w:rsidRPr="00892007">
        <w:rPr>
          <w:rFonts w:cstheme="minorHAnsi"/>
          <w:b/>
          <w:bCs/>
        </w:rPr>
        <w:t>Sezónní produkce pěstovaná ve venkovním prostředí a přepravovaná na kratší vzdálenosti</w:t>
      </w:r>
      <w:r w:rsidR="00AE4BED" w:rsidRPr="001437DB">
        <w:rPr>
          <w:rFonts w:cstheme="minorHAnsi"/>
        </w:rPr>
        <w:t xml:space="preserve"> může mít menší dopady na životní prostředí než produkty pěstované ve sklenících nebo přepravované na dlouhé vzdálenosti.</w:t>
      </w:r>
    </w:p>
    <w:p w14:paraId="29D76ABE" w14:textId="3EF39981" w:rsidR="00AE4BED" w:rsidRPr="001437DB" w:rsidRDefault="00AE4BED" w:rsidP="007A06CF">
      <w:pPr>
        <w:shd w:val="clear" w:color="auto" w:fill="D6E3BC" w:themeFill="accent3" w:themeFillTint="66"/>
        <w:spacing w:after="0" w:line="240" w:lineRule="auto"/>
        <w:rPr>
          <w:rFonts w:eastAsia="Times New Roman" w:cstheme="minorHAnsi"/>
        </w:rPr>
      </w:pPr>
      <w:r w:rsidRPr="00892007">
        <w:rPr>
          <w:rFonts w:cstheme="minorHAnsi"/>
          <w:b/>
          <w:bCs/>
        </w:rPr>
        <w:t>Sezónní zelenina se může vyznačovat lepší chutí</w:t>
      </w:r>
      <w:r w:rsidR="00DA5B46" w:rsidRPr="00892007">
        <w:rPr>
          <w:rFonts w:cstheme="minorHAnsi"/>
          <w:b/>
          <w:bCs/>
        </w:rPr>
        <w:t>,</w:t>
      </w:r>
      <w:r w:rsidRPr="00892007">
        <w:rPr>
          <w:rFonts w:cstheme="minorHAnsi"/>
          <w:b/>
          <w:bCs/>
        </w:rPr>
        <w:t xml:space="preserve"> kvalitou a cenou</w:t>
      </w:r>
      <w:r w:rsidRPr="001437DB">
        <w:rPr>
          <w:rFonts w:cstheme="minorHAnsi"/>
        </w:rPr>
        <w:t xml:space="preserve">, </w:t>
      </w:r>
      <w:r w:rsidR="006E18DE">
        <w:rPr>
          <w:rFonts w:cstheme="minorHAnsi"/>
        </w:rPr>
        <w:t>čímž může dojít k uspokojení širší části veřejnosti, např.</w:t>
      </w:r>
      <w:r w:rsidRPr="001437DB">
        <w:rPr>
          <w:rFonts w:cstheme="minorHAnsi"/>
        </w:rPr>
        <w:t> větší nabíd</w:t>
      </w:r>
      <w:r w:rsidR="006E18DE">
        <w:rPr>
          <w:rFonts w:cstheme="minorHAnsi"/>
        </w:rPr>
        <w:t>ka</w:t>
      </w:r>
      <w:r w:rsidRPr="001437DB">
        <w:rPr>
          <w:rFonts w:cstheme="minorHAnsi"/>
        </w:rPr>
        <w:t xml:space="preserve"> vegetariánských možností stravy nebo možností stravy na rostlinné bázi.</w:t>
      </w:r>
    </w:p>
    <w:p w14:paraId="4826D456" w14:textId="70028AFA" w:rsidR="00632923" w:rsidRDefault="00AE4BED" w:rsidP="007A06CF">
      <w:pPr>
        <w:shd w:val="clear" w:color="auto" w:fill="D6E3BC" w:themeFill="accent3" w:themeFillTint="66"/>
        <w:spacing w:after="0" w:line="240" w:lineRule="auto"/>
        <w:rPr>
          <w:rFonts w:cstheme="minorHAnsi"/>
        </w:rPr>
      </w:pPr>
      <w:r w:rsidRPr="001437DB">
        <w:rPr>
          <w:rFonts w:cstheme="minorHAnsi"/>
        </w:rPr>
        <w:t>Veřejní zadavatelé se mohou rozhodnout, že do svých zakázek individuálně zahrnou kritérium sezónní produkce tím, že uvedou, které potraviny a nápoje budou dodávány/nabízeny ve kterém období roku.</w:t>
      </w:r>
      <w:r w:rsidR="001437DB">
        <w:rPr>
          <w:rFonts w:cstheme="minorHAnsi"/>
        </w:rPr>
        <w:t>“</w:t>
      </w:r>
      <w:r w:rsidR="00911765">
        <w:rPr>
          <w:rFonts w:cstheme="minorHAnsi"/>
        </w:rPr>
        <w:t xml:space="preserve"> </w:t>
      </w:r>
    </w:p>
    <w:p w14:paraId="2C139EB5" w14:textId="77777777" w:rsidR="00394B88" w:rsidRDefault="00394B88" w:rsidP="006D3DDF">
      <w:pPr>
        <w:spacing w:after="0" w:line="240" w:lineRule="auto"/>
        <w:rPr>
          <w:rFonts w:cstheme="minorHAnsi"/>
        </w:rPr>
      </w:pPr>
    </w:p>
    <w:p w14:paraId="4163BE44" w14:textId="7DE65E1D" w:rsidR="00DA5ACF" w:rsidRPr="00762C1A" w:rsidRDefault="00B524DF" w:rsidP="006D3DDF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Při využití požadavku dle textace j</w:t>
      </w:r>
      <w:r w:rsidR="00911765">
        <w:rPr>
          <w:rFonts w:cstheme="minorHAnsi"/>
        </w:rPr>
        <w:t>e nutné mít na paměti, že produkty nemusí nutně pocházet z daného regionu</w:t>
      </w:r>
      <w:r w:rsidR="00B7149A">
        <w:rPr>
          <w:rFonts w:cstheme="minorHAnsi"/>
        </w:rPr>
        <w:t xml:space="preserve"> nebo země</w:t>
      </w:r>
      <w:r w:rsidR="009545C2">
        <w:rPr>
          <w:rFonts w:cstheme="minorHAnsi"/>
        </w:rPr>
        <w:t xml:space="preserve">. </w:t>
      </w:r>
      <w:r w:rsidR="009545C2" w:rsidRPr="00762C1A">
        <w:rPr>
          <w:rFonts w:cstheme="minorHAnsi"/>
        </w:rPr>
        <w:t xml:space="preserve">Dále je nutné vzít v potaz, že vzhledem ke geografické poloze České republiky nebude </w:t>
      </w:r>
      <w:r w:rsidR="00D66D32" w:rsidRPr="00762C1A">
        <w:rPr>
          <w:rFonts w:cstheme="minorHAnsi"/>
        </w:rPr>
        <w:t xml:space="preserve">nejspíš </w:t>
      </w:r>
      <w:r w:rsidR="009545C2" w:rsidRPr="00762C1A">
        <w:rPr>
          <w:rFonts w:cstheme="minorHAnsi"/>
        </w:rPr>
        <w:t xml:space="preserve">možné požadovat mimo hlavní </w:t>
      </w:r>
      <w:r w:rsidR="00E70634" w:rsidRPr="00762C1A">
        <w:rPr>
          <w:rFonts w:cstheme="minorHAnsi"/>
        </w:rPr>
        <w:t>vegetační</w:t>
      </w:r>
      <w:r w:rsidR="009545C2" w:rsidRPr="00762C1A">
        <w:rPr>
          <w:rFonts w:cstheme="minorHAnsi"/>
        </w:rPr>
        <w:t xml:space="preserve"> sezónu (zejména v</w:t>
      </w:r>
      <w:r w:rsidR="000B35F8" w:rsidRPr="00762C1A">
        <w:rPr>
          <w:rFonts w:cstheme="minorHAnsi"/>
        </w:rPr>
        <w:t> </w:t>
      </w:r>
      <w:r w:rsidR="009545C2" w:rsidRPr="00762C1A">
        <w:rPr>
          <w:rFonts w:cstheme="minorHAnsi"/>
        </w:rPr>
        <w:t>zimních</w:t>
      </w:r>
      <w:r w:rsidR="000B35F8" w:rsidRPr="00762C1A">
        <w:rPr>
          <w:rFonts w:cstheme="minorHAnsi"/>
        </w:rPr>
        <w:t xml:space="preserve"> a prvních jarních</w:t>
      </w:r>
      <w:r w:rsidR="009545C2" w:rsidRPr="00762C1A">
        <w:rPr>
          <w:rFonts w:cstheme="minorHAnsi"/>
        </w:rPr>
        <w:t xml:space="preserve"> měsících), aby bylo veškeré </w:t>
      </w:r>
      <w:r w:rsidR="00066AAE" w:rsidRPr="00762C1A">
        <w:rPr>
          <w:rFonts w:cstheme="minorHAnsi"/>
        </w:rPr>
        <w:t xml:space="preserve">dodávané </w:t>
      </w:r>
      <w:r w:rsidR="009545C2" w:rsidRPr="00762C1A">
        <w:rPr>
          <w:rFonts w:cstheme="minorHAnsi"/>
        </w:rPr>
        <w:t xml:space="preserve">ovoce a zelenina </w:t>
      </w:r>
      <w:r w:rsidR="00E70634" w:rsidRPr="00762C1A">
        <w:rPr>
          <w:rFonts w:cstheme="minorHAnsi"/>
        </w:rPr>
        <w:t>„</w:t>
      </w:r>
      <w:r w:rsidR="009545C2" w:rsidRPr="00762C1A">
        <w:rPr>
          <w:rFonts w:cstheme="minorHAnsi"/>
        </w:rPr>
        <w:t>sezónní</w:t>
      </w:r>
      <w:r w:rsidR="00E70634" w:rsidRPr="00762C1A">
        <w:rPr>
          <w:rFonts w:cstheme="minorHAnsi"/>
        </w:rPr>
        <w:t>“</w:t>
      </w:r>
      <w:r w:rsidR="00C53D44" w:rsidRPr="00762C1A">
        <w:rPr>
          <w:rFonts w:cstheme="minorHAnsi"/>
        </w:rPr>
        <w:t xml:space="preserve"> a</w:t>
      </w:r>
      <w:r w:rsidR="00E70634" w:rsidRPr="00762C1A">
        <w:rPr>
          <w:rFonts w:cstheme="minorHAnsi"/>
        </w:rPr>
        <w:t xml:space="preserve"> pěstované ve venkovním prostředí</w:t>
      </w:r>
      <w:r w:rsidR="00911765" w:rsidRPr="00762C1A">
        <w:rPr>
          <w:rFonts w:cstheme="minorHAnsi"/>
        </w:rPr>
        <w:t>.</w:t>
      </w:r>
      <w:r w:rsidR="009545C2" w:rsidRPr="00762C1A">
        <w:rPr>
          <w:rFonts w:cstheme="minorHAnsi"/>
        </w:rPr>
        <w:t xml:space="preserve"> Důležité je při </w:t>
      </w:r>
      <w:r w:rsidR="00C77856" w:rsidRPr="00762C1A">
        <w:rPr>
          <w:rFonts w:cstheme="minorHAnsi"/>
        </w:rPr>
        <w:t>využití</w:t>
      </w:r>
      <w:r w:rsidR="009545C2" w:rsidRPr="00762C1A">
        <w:rPr>
          <w:rFonts w:cstheme="minorHAnsi"/>
        </w:rPr>
        <w:t xml:space="preserve"> sezónní</w:t>
      </w:r>
      <w:r w:rsidR="00C77856" w:rsidRPr="00762C1A">
        <w:rPr>
          <w:rFonts w:cstheme="minorHAnsi"/>
        </w:rPr>
        <w:t>ho</w:t>
      </w:r>
      <w:r w:rsidR="009545C2" w:rsidRPr="00762C1A">
        <w:rPr>
          <w:rFonts w:cstheme="minorHAnsi"/>
        </w:rPr>
        <w:t xml:space="preserve"> kalendáře zohlednit období, kdy bude probíhat plnění</w:t>
      </w:r>
      <w:r w:rsidR="00E36784" w:rsidRPr="00762C1A">
        <w:rPr>
          <w:rFonts w:cstheme="minorHAnsi"/>
        </w:rPr>
        <w:t>, nutriční aspekty apod.</w:t>
      </w:r>
      <w:r w:rsidR="009545C2" w:rsidRPr="00762C1A">
        <w:rPr>
          <w:rFonts w:cstheme="minorHAnsi"/>
        </w:rPr>
        <w:t xml:space="preserve"> a </w:t>
      </w:r>
      <w:r w:rsidR="000245BB" w:rsidRPr="00762C1A">
        <w:rPr>
          <w:rFonts w:cstheme="minorHAnsi"/>
          <w:u w:val="single"/>
        </w:rPr>
        <w:t xml:space="preserve">mimo hlavní vegetační sezónu </w:t>
      </w:r>
      <w:r w:rsidR="00E36784" w:rsidRPr="00762C1A">
        <w:rPr>
          <w:rFonts w:cstheme="minorHAnsi"/>
          <w:u w:val="single"/>
        </w:rPr>
        <w:t>určit</w:t>
      </w:r>
      <w:r w:rsidR="009545C2" w:rsidRPr="00762C1A">
        <w:rPr>
          <w:rFonts w:cstheme="minorHAnsi"/>
          <w:u w:val="single"/>
        </w:rPr>
        <w:t xml:space="preserve"> vhodný podíl</w:t>
      </w:r>
      <w:r w:rsidR="00911765" w:rsidRPr="00762C1A">
        <w:rPr>
          <w:rFonts w:cstheme="minorHAnsi"/>
          <w:u w:val="single"/>
        </w:rPr>
        <w:t xml:space="preserve"> </w:t>
      </w:r>
      <w:r w:rsidR="009545C2" w:rsidRPr="00762C1A">
        <w:rPr>
          <w:rFonts w:cstheme="minorHAnsi"/>
          <w:u w:val="single"/>
        </w:rPr>
        <w:t>požadované sezónní produkce</w:t>
      </w:r>
      <w:r w:rsidR="009545C2" w:rsidRPr="00762C1A">
        <w:rPr>
          <w:rFonts w:cstheme="minorHAnsi"/>
        </w:rPr>
        <w:t xml:space="preserve">. </w:t>
      </w:r>
    </w:p>
    <w:p w14:paraId="14ACD4DE" w14:textId="2AEF5FA0" w:rsidR="00AE4BED" w:rsidRPr="00762C1A" w:rsidRDefault="009545C2" w:rsidP="006D3DDF">
      <w:pPr>
        <w:spacing w:after="0" w:line="240" w:lineRule="auto"/>
        <w:rPr>
          <w:rFonts w:cstheme="minorHAnsi"/>
        </w:rPr>
      </w:pPr>
      <w:r w:rsidRPr="00762C1A">
        <w:rPr>
          <w:rFonts w:cstheme="minorHAnsi"/>
        </w:rPr>
        <w:t xml:space="preserve">Je </w:t>
      </w:r>
      <w:r w:rsidR="00C77856" w:rsidRPr="00762C1A">
        <w:rPr>
          <w:rFonts w:cstheme="minorHAnsi"/>
        </w:rPr>
        <w:t>žádoucí</w:t>
      </w:r>
      <w:r w:rsidRPr="00762C1A">
        <w:rPr>
          <w:rFonts w:cstheme="minorHAnsi"/>
        </w:rPr>
        <w:t xml:space="preserve"> informovat strávníky o tom, které ovoce a zelenina jsou v rámci občerstvení či pokrmů </w:t>
      </w:r>
      <w:r w:rsidR="00070E65" w:rsidRPr="00762C1A">
        <w:rPr>
          <w:rFonts w:cstheme="minorHAnsi"/>
        </w:rPr>
        <w:t xml:space="preserve">ve stravovacích zařízeních </w:t>
      </w:r>
      <w:r w:rsidRPr="00762C1A">
        <w:rPr>
          <w:rFonts w:cstheme="minorHAnsi"/>
        </w:rPr>
        <w:t xml:space="preserve">v daném období </w:t>
      </w:r>
      <w:r w:rsidR="00070E65" w:rsidRPr="00762C1A">
        <w:rPr>
          <w:rFonts w:cstheme="minorHAnsi"/>
        </w:rPr>
        <w:t xml:space="preserve">nabízeny jako </w:t>
      </w:r>
      <w:r w:rsidRPr="00762C1A">
        <w:rPr>
          <w:rFonts w:cstheme="minorHAnsi"/>
        </w:rPr>
        <w:t>sezónní</w:t>
      </w:r>
      <w:r w:rsidR="00C831BA">
        <w:rPr>
          <w:rFonts w:cstheme="minorHAnsi"/>
        </w:rPr>
        <w:t>, například v jídelním lístku apod</w:t>
      </w:r>
      <w:r w:rsidRPr="00762C1A">
        <w:rPr>
          <w:rFonts w:cstheme="minorHAnsi"/>
        </w:rPr>
        <w:t>.</w:t>
      </w:r>
    </w:p>
    <w:p w14:paraId="60474EBD" w14:textId="25B3A754" w:rsidR="00DA5ACF" w:rsidRPr="006D3DDF" w:rsidRDefault="00DA5ACF" w:rsidP="006D3DDF">
      <w:pPr>
        <w:spacing w:after="0" w:line="240" w:lineRule="auto"/>
        <w:rPr>
          <w:rFonts w:eastAsia="Times New Roman" w:cstheme="minorHAnsi"/>
          <w:i/>
          <w:iCs/>
        </w:rPr>
      </w:pPr>
      <w:r w:rsidRPr="00762C1A">
        <w:rPr>
          <w:rFonts w:cstheme="minorHAnsi"/>
        </w:rPr>
        <w:t xml:space="preserve">Pokud nejde o dodávku </w:t>
      </w:r>
      <w:r w:rsidR="00E36784" w:rsidRPr="00762C1A">
        <w:rPr>
          <w:rFonts w:cstheme="minorHAnsi"/>
        </w:rPr>
        <w:t xml:space="preserve">čerstvého </w:t>
      </w:r>
      <w:r w:rsidRPr="00762C1A">
        <w:rPr>
          <w:rFonts w:cstheme="minorHAnsi"/>
        </w:rPr>
        <w:t>ovoce a zeleniny, ale jsou dodávány již hotové pokrmy, při jejichž přípravě byla sezónní produkce využita, je nutné přiměřeně upravit textaci.</w:t>
      </w:r>
    </w:p>
    <w:p w14:paraId="2CCB9901" w14:textId="77777777" w:rsidR="005C7F24" w:rsidRDefault="005C7F24" w:rsidP="00424D8C">
      <w:pPr>
        <w:spacing w:after="0" w:line="240" w:lineRule="auto"/>
        <w:jc w:val="both"/>
        <w:rPr>
          <w:b/>
          <w:bCs/>
        </w:rPr>
      </w:pPr>
    </w:p>
    <w:p w14:paraId="4C4CDA7F" w14:textId="4DAE6CE7" w:rsidR="00424D8C" w:rsidRDefault="00424D8C" w:rsidP="00424D8C">
      <w:pPr>
        <w:spacing w:after="0" w:line="240" w:lineRule="auto"/>
        <w:jc w:val="both"/>
        <w:rPr>
          <w:b/>
          <w:bCs/>
        </w:rPr>
      </w:pPr>
      <w:r w:rsidRPr="00424D8C">
        <w:rPr>
          <w:b/>
          <w:bCs/>
        </w:rPr>
        <w:t xml:space="preserve">Textace </w:t>
      </w:r>
      <w:r w:rsidR="00FA558D">
        <w:rPr>
          <w:b/>
          <w:bCs/>
        </w:rPr>
        <w:t>do</w:t>
      </w:r>
      <w:r w:rsidRPr="00424D8C">
        <w:rPr>
          <w:b/>
          <w:bCs/>
        </w:rPr>
        <w:t xml:space="preserve"> zadávací dokumentace:</w:t>
      </w:r>
    </w:p>
    <w:p w14:paraId="0FF44A23" w14:textId="098523EF" w:rsidR="005C7F24" w:rsidRDefault="005C7F24" w:rsidP="00424D8C">
      <w:pPr>
        <w:spacing w:after="0" w:line="240" w:lineRule="auto"/>
        <w:jc w:val="both"/>
        <w:rPr>
          <w:b/>
          <w:bCs/>
        </w:rPr>
      </w:pPr>
    </w:p>
    <w:p w14:paraId="53C03588" w14:textId="711A84EE" w:rsidR="00A513B6" w:rsidRPr="00DA3D7F" w:rsidRDefault="00A513B6" w:rsidP="00DA3D7F">
      <w:pPr>
        <w:spacing w:after="0" w:line="240" w:lineRule="auto"/>
        <w:jc w:val="both"/>
        <w:rPr>
          <w:b/>
          <w:bCs/>
          <w:i/>
          <w:iCs/>
        </w:rPr>
      </w:pPr>
      <w:r w:rsidRPr="00DA3D7F">
        <w:rPr>
          <w:b/>
          <w:bCs/>
          <w:i/>
          <w:iCs/>
        </w:rPr>
        <w:t>Sezónní produkce</w:t>
      </w:r>
      <w:r w:rsidR="00E73AE0" w:rsidRPr="00DA3D7F">
        <w:rPr>
          <w:b/>
          <w:bCs/>
          <w:i/>
          <w:iCs/>
        </w:rPr>
        <w:t xml:space="preserve"> ovoce a zeleniny</w:t>
      </w:r>
    </w:p>
    <w:p w14:paraId="0A497DAC" w14:textId="5702F567" w:rsidR="00E36784" w:rsidRDefault="00AA139D" w:rsidP="00056684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DA5B46">
        <w:rPr>
          <w:rFonts w:asciiTheme="minorHAnsi" w:hAnsiTheme="minorHAnsi" w:cstheme="minorHAnsi"/>
          <w:i/>
          <w:iCs/>
          <w:sz w:val="22"/>
          <w:szCs w:val="22"/>
        </w:rPr>
        <w:t>Zadavatel má zájem zadat veřejnou zakázku v souladu se zásadami odpovědného veřejného zadávání</w:t>
      </w:r>
      <w:r w:rsidR="00B524DF">
        <w:rPr>
          <w:rFonts w:asciiTheme="minorHAnsi" w:hAnsiTheme="minorHAnsi" w:cstheme="minorHAnsi"/>
          <w:i/>
          <w:iCs/>
          <w:sz w:val="22"/>
          <w:szCs w:val="22"/>
        </w:rPr>
        <w:t xml:space="preserve"> a činí tak i v tomto zadávacím řízení</w:t>
      </w:r>
      <w:r w:rsidRPr="00DA5B4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314D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1E2FB58" w14:textId="5A662DCD" w:rsidR="005719E9" w:rsidRDefault="00E36784" w:rsidP="005719E9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Zadavatel p</w:t>
      </w:r>
      <w:r w:rsidR="004314DF">
        <w:rPr>
          <w:rFonts w:asciiTheme="minorHAnsi" w:hAnsiTheme="minorHAnsi" w:cstheme="minorHAnsi"/>
          <w:i/>
          <w:iCs/>
          <w:sz w:val="22"/>
          <w:szCs w:val="22"/>
        </w:rPr>
        <w:t xml:space="preserve">roto </w:t>
      </w:r>
      <w:r w:rsidR="004C24F2">
        <w:rPr>
          <w:rFonts w:asciiTheme="minorHAnsi" w:hAnsiTheme="minorHAnsi" w:cstheme="minorHAnsi"/>
          <w:i/>
          <w:iCs/>
          <w:sz w:val="22"/>
          <w:szCs w:val="22"/>
        </w:rPr>
        <w:t>požaduje</w:t>
      </w:r>
      <w:r w:rsidR="0076724E" w:rsidRPr="0035511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524DF">
        <w:rPr>
          <w:rFonts w:asciiTheme="minorHAnsi" w:hAnsiTheme="minorHAnsi" w:cstheme="minorHAnsi"/>
          <w:i/>
          <w:iCs/>
          <w:sz w:val="22"/>
          <w:szCs w:val="22"/>
        </w:rPr>
        <w:t>dod</w:t>
      </w:r>
      <w:r w:rsidR="00C07788">
        <w:rPr>
          <w:rFonts w:asciiTheme="minorHAnsi" w:hAnsiTheme="minorHAnsi" w:cstheme="minorHAnsi"/>
          <w:i/>
          <w:iCs/>
          <w:sz w:val="22"/>
          <w:szCs w:val="22"/>
        </w:rPr>
        <w:t>ání</w:t>
      </w:r>
      <w:r w:rsidR="00B524D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9089D" w:rsidRPr="00355114">
        <w:rPr>
          <w:rFonts w:asciiTheme="minorHAnsi" w:hAnsiTheme="minorHAnsi" w:cstheme="minorHAnsi"/>
          <w:i/>
          <w:iCs/>
          <w:sz w:val="22"/>
          <w:szCs w:val="22"/>
        </w:rPr>
        <w:t>sezónní</w:t>
      </w:r>
      <w:r w:rsidR="00C07788">
        <w:rPr>
          <w:rFonts w:asciiTheme="minorHAnsi" w:hAnsiTheme="minorHAnsi" w:cstheme="minorHAnsi"/>
          <w:i/>
          <w:iCs/>
          <w:sz w:val="22"/>
          <w:szCs w:val="22"/>
        </w:rPr>
        <w:t>ho</w:t>
      </w:r>
      <w:r w:rsidR="0079089D" w:rsidRPr="0035511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6724E" w:rsidRPr="00355114">
        <w:rPr>
          <w:rFonts w:asciiTheme="minorHAnsi" w:hAnsiTheme="minorHAnsi" w:cstheme="minorHAnsi"/>
          <w:i/>
          <w:iCs/>
          <w:sz w:val="22"/>
          <w:szCs w:val="22"/>
        </w:rPr>
        <w:t>ovoce a zelenin</w:t>
      </w:r>
      <w:r w:rsidR="00C07788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2849E8" w:rsidRPr="002849E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2849E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849E8" w:rsidRPr="00355114">
        <w:rPr>
          <w:rFonts w:asciiTheme="minorHAnsi" w:hAnsiTheme="minorHAnsi" w:cstheme="minorHAnsi"/>
          <w:i/>
          <w:iCs/>
          <w:sz w:val="22"/>
          <w:szCs w:val="22"/>
        </w:rPr>
        <w:t>jejichž pěstování, přeprava a skladování mají menší dopady na životní prostředí</w:t>
      </w:r>
      <w:r w:rsidR="002849E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745C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745C2" w:rsidRPr="00762C1A">
        <w:rPr>
          <w:rFonts w:asciiTheme="minorHAnsi" w:hAnsiTheme="minorHAnsi" w:cstheme="minorHAnsi"/>
          <w:i/>
          <w:iCs/>
          <w:sz w:val="22"/>
          <w:szCs w:val="22"/>
        </w:rPr>
        <w:t xml:space="preserve">v souladu s </w:t>
      </w:r>
      <w:hyperlink r:id="rId16" w:history="1">
        <w:r w:rsidR="00F745C2" w:rsidRPr="00762C1A">
          <w:rPr>
            <w:rStyle w:val="Hypertextovodkaz"/>
            <w:rFonts w:asciiTheme="minorHAnsi" w:hAnsiTheme="minorHAnsi" w:cstheme="minorHAnsi"/>
            <w:i/>
            <w:iCs/>
            <w:sz w:val="22"/>
            <w:szCs w:val="22"/>
          </w:rPr>
          <w:t>Kritérii pro zadávání zelených veřejných zakázek v EU pro stravování, stravovací služby a prodejní automaty, tzv. GPP kritérii</w:t>
        </w:r>
      </w:hyperlink>
      <w:r w:rsidR="00F745C2" w:rsidRPr="00762C1A">
        <w:rPr>
          <w:rFonts w:asciiTheme="minorHAnsi" w:hAnsiTheme="minorHAnsi" w:cstheme="minorHAnsi"/>
          <w:i/>
          <w:iCs/>
          <w:sz w:val="22"/>
          <w:szCs w:val="22"/>
        </w:rPr>
        <w:t xml:space="preserve"> (viz s</w:t>
      </w:r>
      <w:r w:rsidR="00F745C2" w:rsidRPr="00762C1A">
        <w:rPr>
          <w:rStyle w:val="Hypertextovodkaz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tr. 21)</w:t>
      </w:r>
      <w:r w:rsidR="009E3C48" w:rsidRPr="00762C1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9E3C48" w:rsidRPr="0035511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719E9" w:rsidRPr="00355114">
        <w:rPr>
          <w:rFonts w:asciiTheme="minorHAnsi" w:hAnsiTheme="minorHAnsi" w:cstheme="minorHAnsi"/>
          <w:i/>
          <w:iCs/>
          <w:sz w:val="22"/>
          <w:szCs w:val="22"/>
        </w:rPr>
        <w:t xml:space="preserve">Jedná se o ovoce a zeleninu, které jsou </w:t>
      </w:r>
      <w:r w:rsidR="005719E9" w:rsidRPr="00601680">
        <w:rPr>
          <w:rFonts w:asciiTheme="minorHAnsi" w:hAnsiTheme="minorHAnsi" w:cstheme="minorHAnsi"/>
          <w:i/>
          <w:iCs/>
          <w:sz w:val="22"/>
          <w:szCs w:val="22"/>
        </w:rPr>
        <w:t>typicky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719E9" w:rsidRPr="00355114">
        <w:rPr>
          <w:rFonts w:asciiTheme="minorHAnsi" w:hAnsiTheme="minorHAnsi" w:cstheme="minorHAnsi"/>
          <w:i/>
          <w:iCs/>
          <w:sz w:val="22"/>
          <w:szCs w:val="22"/>
        </w:rPr>
        <w:t xml:space="preserve">pěstovány 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 xml:space="preserve">a sklízeny </w:t>
      </w:r>
      <w:r w:rsidR="005719E9" w:rsidRPr="00355114">
        <w:rPr>
          <w:rFonts w:asciiTheme="minorHAnsi" w:hAnsiTheme="minorHAnsi" w:cstheme="minorHAnsi"/>
          <w:i/>
          <w:iCs/>
          <w:sz w:val="22"/>
          <w:szCs w:val="22"/>
        </w:rPr>
        <w:t>ve venkovním prostředí v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5719E9" w:rsidRPr="00601680">
        <w:rPr>
          <w:rFonts w:asciiTheme="minorHAnsi" w:hAnsiTheme="minorHAnsi" w:cstheme="minorHAnsi"/>
          <w:i/>
          <w:iCs/>
          <w:sz w:val="22"/>
          <w:szCs w:val="22"/>
        </w:rPr>
        <w:t>zeměpisné oblasti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 xml:space="preserve"> České republiky</w:t>
      </w:r>
      <w:r w:rsidR="005719E9" w:rsidRPr="00355114">
        <w:rPr>
          <w:rFonts w:asciiTheme="minorHAnsi" w:hAnsiTheme="minorHAnsi" w:cstheme="minorHAnsi"/>
          <w:i/>
          <w:iCs/>
          <w:sz w:val="22"/>
          <w:szCs w:val="22"/>
        </w:rPr>
        <w:t xml:space="preserve">, v určitém období roku, případně 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>jsou</w:t>
      </w:r>
      <w:r w:rsidR="005719E9" w:rsidRPr="00355114">
        <w:rPr>
          <w:rFonts w:asciiTheme="minorHAnsi" w:hAnsiTheme="minorHAnsi" w:cstheme="minorHAnsi"/>
          <w:i/>
          <w:iCs/>
          <w:sz w:val="22"/>
          <w:szCs w:val="22"/>
        </w:rPr>
        <w:t xml:space="preserve"> v </w:t>
      </w:r>
      <w:r w:rsidR="005719E9" w:rsidRPr="00601680">
        <w:rPr>
          <w:rFonts w:asciiTheme="minorHAnsi" w:hAnsiTheme="minorHAnsi" w:cstheme="minorHAnsi"/>
          <w:i/>
          <w:iCs/>
          <w:sz w:val="22"/>
          <w:szCs w:val="22"/>
        </w:rPr>
        <w:t>dané zeměpisné oblasti</w:t>
      </w:r>
      <w:r w:rsidR="005719E9" w:rsidRPr="00355114">
        <w:rPr>
          <w:rFonts w:asciiTheme="minorHAnsi" w:hAnsiTheme="minorHAnsi" w:cstheme="minorHAnsi"/>
          <w:i/>
          <w:iCs/>
          <w:sz w:val="22"/>
          <w:szCs w:val="22"/>
        </w:rPr>
        <w:t xml:space="preserve"> uskladněny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 xml:space="preserve"> po určitou dobu po sklizni</w:t>
      </w:r>
      <w:r w:rsidR="005719E9" w:rsidRPr="0035511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5719E9" w:rsidRPr="00355114">
        <w:rPr>
          <w:rFonts w:asciiTheme="minorHAnsi" w:hAnsiTheme="minorHAnsi" w:cstheme="minorHAnsi"/>
          <w:i/>
          <w:iCs/>
          <w:sz w:val="22"/>
          <w:szCs w:val="22"/>
        </w:rPr>
        <w:t>voce a zelenin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>u, které jsou pro účely této veřejné zakázky sezónní v určitém měsíci</w:t>
      </w:r>
      <w:r w:rsidR="005719E9" w:rsidRPr="0035511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>stanoví</w:t>
      </w:r>
      <w:r w:rsidR="005719E9" w:rsidRPr="00355114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 xml:space="preserve">sezónní </w:t>
      </w:r>
      <w:r w:rsidR="005719E9" w:rsidRPr="00B7149A">
        <w:rPr>
          <w:rFonts w:asciiTheme="minorHAnsi" w:hAnsiTheme="minorHAnsi" w:cstheme="minorHAnsi"/>
          <w:i/>
          <w:iCs/>
          <w:sz w:val="22"/>
          <w:szCs w:val="22"/>
        </w:rPr>
        <w:t xml:space="preserve">kalendář </w:t>
      </w:r>
      <w:r w:rsidR="005719E9" w:rsidRPr="00B7149A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Období sklizně a doba skladování ovoce a zeleniny</w:t>
      </w:r>
      <w:r w:rsidR="005719E9" w:rsidRPr="005C7F2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719E9" w:rsidRPr="005C7F24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Ministerstva zemědělství</w:t>
      </w:r>
      <w:r w:rsidR="005719E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>uvedený níže; sezónní kalendář</w:t>
      </w:r>
      <w:r w:rsidR="00796984">
        <w:rPr>
          <w:rFonts w:asciiTheme="minorHAnsi" w:hAnsiTheme="minorHAnsi" w:cstheme="minorHAnsi"/>
          <w:i/>
          <w:iCs/>
          <w:sz w:val="22"/>
          <w:szCs w:val="22"/>
        </w:rPr>
        <w:t xml:space="preserve"> Ministerstva zemědělství</w:t>
      </w:r>
      <w:r w:rsidR="005719E9">
        <w:rPr>
          <w:rFonts w:asciiTheme="minorHAnsi" w:hAnsiTheme="minorHAnsi" w:cstheme="minorHAnsi"/>
          <w:i/>
          <w:iCs/>
          <w:sz w:val="22"/>
          <w:szCs w:val="22"/>
        </w:rPr>
        <w:t xml:space="preserve"> je také dostupný </w:t>
      </w:r>
      <w:hyperlink r:id="rId17" w:history="1">
        <w:r w:rsidR="005719E9" w:rsidRPr="004B4556">
          <w:rPr>
            <w:rStyle w:val="Hypertextovodkaz"/>
            <w:rFonts w:asciiTheme="minorHAnsi" w:hAnsiTheme="minorHAnsi" w:cstheme="minorHAnsi"/>
            <w:i/>
            <w:iCs/>
            <w:sz w:val="22"/>
            <w:szCs w:val="22"/>
          </w:rPr>
          <w:t>zde</w:t>
        </w:r>
      </w:hyperlink>
      <w:r w:rsidR="005719E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5719E9" w:rsidRPr="0035511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ECE4AFD" w14:textId="2920D905" w:rsidR="00892007" w:rsidRDefault="003921C6" w:rsidP="00056684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762C1A">
        <w:rPr>
          <w:rFonts w:asciiTheme="minorHAnsi" w:hAnsiTheme="minorHAnsi" w:cstheme="minorHAnsi"/>
          <w:i/>
          <w:iCs/>
          <w:sz w:val="22"/>
          <w:szCs w:val="22"/>
        </w:rPr>
        <w:t>Dodavatel uvede</w:t>
      </w:r>
      <w:r w:rsidR="00892007" w:rsidRPr="00762C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36784" w:rsidRPr="00762C1A">
        <w:rPr>
          <w:rFonts w:asciiTheme="minorHAnsi" w:hAnsiTheme="minorHAnsi" w:cstheme="minorHAnsi"/>
          <w:i/>
          <w:iCs/>
          <w:sz w:val="22"/>
          <w:szCs w:val="22"/>
        </w:rPr>
        <w:t xml:space="preserve">v tabulce </w:t>
      </w:r>
      <w:r w:rsidR="00892007" w:rsidRPr="00762C1A">
        <w:rPr>
          <w:rFonts w:asciiTheme="minorHAnsi" w:hAnsiTheme="minorHAnsi" w:cstheme="minorHAnsi"/>
          <w:i/>
          <w:iCs/>
          <w:sz w:val="22"/>
          <w:szCs w:val="22"/>
        </w:rPr>
        <w:t>druhy ovoce a zeleniny</w:t>
      </w:r>
      <w:r w:rsidR="008F0B3A" w:rsidRPr="00762C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62C1A">
        <w:rPr>
          <w:rFonts w:asciiTheme="minorHAnsi" w:hAnsiTheme="minorHAnsi" w:cstheme="minorHAnsi"/>
          <w:i/>
          <w:iCs/>
          <w:sz w:val="22"/>
          <w:szCs w:val="22"/>
        </w:rPr>
        <w:t xml:space="preserve">a upřesní datum či </w:t>
      </w:r>
      <w:r w:rsidR="00892007" w:rsidRPr="00762C1A">
        <w:rPr>
          <w:rFonts w:asciiTheme="minorHAnsi" w:hAnsiTheme="minorHAnsi" w:cstheme="minorHAnsi"/>
          <w:i/>
          <w:iCs/>
          <w:sz w:val="22"/>
          <w:szCs w:val="22"/>
        </w:rPr>
        <w:t>období</w:t>
      </w:r>
      <w:r w:rsidR="00BF63F7" w:rsidRPr="00762C1A">
        <w:rPr>
          <w:rFonts w:asciiTheme="minorHAnsi" w:hAnsiTheme="minorHAnsi" w:cstheme="minorHAnsi"/>
          <w:i/>
          <w:iCs/>
          <w:sz w:val="22"/>
          <w:szCs w:val="22"/>
        </w:rPr>
        <w:t xml:space="preserve"> dodání</w:t>
      </w:r>
      <w:r w:rsidR="007A06CF" w:rsidRPr="00762C1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762C1A">
        <w:rPr>
          <w:rFonts w:asciiTheme="minorHAnsi" w:hAnsiTheme="minorHAnsi" w:cstheme="minorHAnsi"/>
          <w:i/>
          <w:iCs/>
          <w:sz w:val="22"/>
          <w:szCs w:val="22"/>
        </w:rPr>
        <w:t>které musí odpovídat časovému rozmezí pro sklizeň a skladování pro dané ovoce a zeleninu v souladu se sezónním kalendářem</w:t>
      </w:r>
      <w:r w:rsidR="005719E9" w:rsidRPr="00762C1A">
        <w:rPr>
          <w:rFonts w:asciiTheme="minorHAnsi" w:hAnsiTheme="minorHAnsi" w:cstheme="minorHAnsi"/>
          <w:i/>
          <w:iCs/>
          <w:sz w:val="22"/>
          <w:szCs w:val="22"/>
        </w:rPr>
        <w:t xml:space="preserve"> uvedeným níže</w:t>
      </w:r>
      <w:r w:rsidR="00892007" w:rsidRPr="00762C1A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2007" w14:paraId="771826FD" w14:textId="77777777" w:rsidTr="00394B88">
        <w:trPr>
          <w:trHeight w:val="1102"/>
        </w:trPr>
        <w:tc>
          <w:tcPr>
            <w:tcW w:w="4957" w:type="dxa"/>
          </w:tcPr>
          <w:p w14:paraId="40CC79C9" w14:textId="3F453F71" w:rsidR="00892007" w:rsidRPr="00394B88" w:rsidRDefault="00892007" w:rsidP="00762C1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B8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Uveďte požadovaný druh ovoce/zeleniny ze sezónního kalendáře</w:t>
            </w:r>
          </w:p>
        </w:tc>
        <w:tc>
          <w:tcPr>
            <w:tcW w:w="4105" w:type="dxa"/>
          </w:tcPr>
          <w:p w14:paraId="5C7C99A8" w14:textId="77777777" w:rsidR="00CE7D1B" w:rsidRDefault="00892007" w:rsidP="00762C1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394B8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Uveďte datum či období dodání</w:t>
            </w:r>
          </w:p>
          <w:p w14:paraId="7F68EB4F" w14:textId="177ED0A7" w:rsidR="00892007" w:rsidRPr="00394B88" w:rsidRDefault="00CE7D1B" w:rsidP="00762C1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Datum či období dodání musí</w:t>
            </w:r>
            <w:r w:rsidR="00892007" w:rsidRPr="00394B8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odpovída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t</w:t>
            </w:r>
            <w:r w:rsidR="00892007" w:rsidRPr="00394B8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394B88" w:rsidRPr="00394B8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časovému </w:t>
            </w:r>
            <w:r w:rsidR="00892007" w:rsidRPr="00394B8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rozmezí pro </w:t>
            </w:r>
            <w:r w:rsidR="00394B88" w:rsidRPr="00394B8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sklizeň a skladování pro </w:t>
            </w:r>
            <w:r w:rsidR="00892007" w:rsidRPr="00394B8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dané ovoce/zeleninu </w:t>
            </w:r>
            <w:r w:rsidR="003921C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v souladu se</w:t>
            </w:r>
            <w:r w:rsidR="00892007" w:rsidRPr="00394B8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sezónní</w:t>
            </w:r>
            <w:r w:rsidR="003921C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m</w:t>
            </w:r>
            <w:r w:rsidR="00892007" w:rsidRPr="00394B8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kalendáře</w:t>
            </w:r>
            <w:r w:rsidR="003921C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m</w:t>
            </w:r>
            <w:r w:rsidR="00892007" w:rsidRPr="00394B8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892007" w14:paraId="12A65B10" w14:textId="77777777" w:rsidTr="00892007">
        <w:tc>
          <w:tcPr>
            <w:tcW w:w="4957" w:type="dxa"/>
          </w:tcPr>
          <w:p w14:paraId="5165F1D3" w14:textId="77777777" w:rsidR="00892007" w:rsidRDefault="00892007" w:rsidP="00056684">
            <w:pPr>
              <w:pStyle w:val="Normln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</w:tcPr>
          <w:p w14:paraId="4EFB1D78" w14:textId="77777777" w:rsidR="00892007" w:rsidRDefault="00892007" w:rsidP="00056684">
            <w:pPr>
              <w:pStyle w:val="Normln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94B88" w14:paraId="31947180" w14:textId="77777777" w:rsidTr="00892007">
        <w:tc>
          <w:tcPr>
            <w:tcW w:w="4957" w:type="dxa"/>
          </w:tcPr>
          <w:p w14:paraId="1FFD9605" w14:textId="77777777" w:rsidR="00394B88" w:rsidRDefault="00394B88" w:rsidP="00056684">
            <w:pPr>
              <w:pStyle w:val="Normln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105" w:type="dxa"/>
          </w:tcPr>
          <w:p w14:paraId="5E7109DE" w14:textId="77777777" w:rsidR="00394B88" w:rsidRDefault="00394B88" w:rsidP="00056684">
            <w:pPr>
              <w:pStyle w:val="Normln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613295A7" w14:textId="55B07D8A" w:rsidR="00762C1A" w:rsidRDefault="00762C1A" w:rsidP="00762C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6ECCF4F1" w14:textId="47EDC9C0" w:rsidR="00461EF3" w:rsidRDefault="00461EF3" w:rsidP="00762C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1EF3">
        <w:rPr>
          <w:rFonts w:asciiTheme="minorHAnsi" w:hAnsiTheme="minorHAnsi" w:cstheme="minorHAnsi"/>
          <w:sz w:val="22"/>
          <w:szCs w:val="22"/>
        </w:rPr>
        <w:t xml:space="preserve">Pozn.: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61EF3">
        <w:rPr>
          <w:rFonts w:asciiTheme="minorHAnsi" w:hAnsiTheme="minorHAnsi" w:cstheme="minorHAnsi"/>
          <w:sz w:val="22"/>
          <w:szCs w:val="22"/>
        </w:rPr>
        <w:t xml:space="preserve">ovinnost </w:t>
      </w:r>
      <w:r>
        <w:rPr>
          <w:rFonts w:asciiTheme="minorHAnsi" w:hAnsiTheme="minorHAnsi" w:cstheme="minorHAnsi"/>
          <w:sz w:val="22"/>
          <w:szCs w:val="22"/>
        </w:rPr>
        <w:t>dod</w:t>
      </w:r>
      <w:r w:rsidR="00294CBC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sezónní ovoce a zelenin</w:t>
      </w:r>
      <w:r w:rsidR="00294CBC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uveden</w:t>
      </w:r>
      <w:r w:rsidR="00294CBC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v </w:t>
      </w:r>
      <w:r w:rsidRPr="00461EF3">
        <w:rPr>
          <w:rFonts w:asciiTheme="minorHAnsi" w:hAnsiTheme="minorHAnsi" w:cstheme="minorHAnsi"/>
          <w:sz w:val="22"/>
          <w:szCs w:val="22"/>
        </w:rPr>
        <w:t>zadáv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61EF3">
        <w:rPr>
          <w:rFonts w:asciiTheme="minorHAnsi" w:hAnsiTheme="minorHAnsi" w:cstheme="minorHAnsi"/>
          <w:sz w:val="22"/>
          <w:szCs w:val="22"/>
        </w:rPr>
        <w:t>cí dokumentac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61E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 třeba </w:t>
      </w:r>
      <w:r w:rsidR="00C00485">
        <w:rPr>
          <w:rFonts w:asciiTheme="minorHAnsi" w:hAnsiTheme="minorHAnsi" w:cstheme="minorHAnsi"/>
          <w:sz w:val="22"/>
          <w:szCs w:val="22"/>
        </w:rPr>
        <w:t>adekvátně promítnout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B44323">
        <w:rPr>
          <w:rFonts w:asciiTheme="minorHAnsi" w:hAnsiTheme="minorHAnsi" w:cstheme="minorHAnsi"/>
          <w:sz w:val="22"/>
          <w:szCs w:val="22"/>
        </w:rPr>
        <w:t>do</w:t>
      </w:r>
      <w:r w:rsidRPr="00461EF3">
        <w:rPr>
          <w:rFonts w:asciiTheme="minorHAnsi" w:hAnsiTheme="minorHAnsi" w:cstheme="minorHAnsi"/>
          <w:sz w:val="22"/>
          <w:szCs w:val="22"/>
        </w:rPr>
        <w:t xml:space="preserve"> sml</w:t>
      </w:r>
      <w:r w:rsidR="00B44323">
        <w:rPr>
          <w:rFonts w:asciiTheme="minorHAnsi" w:hAnsiTheme="minorHAnsi" w:cstheme="minorHAnsi"/>
          <w:sz w:val="22"/>
          <w:szCs w:val="22"/>
        </w:rPr>
        <w:t>uvních ustanovení</w:t>
      </w:r>
      <w:r>
        <w:rPr>
          <w:rFonts w:asciiTheme="minorHAnsi" w:hAnsiTheme="minorHAnsi" w:cstheme="minorHAnsi"/>
          <w:sz w:val="22"/>
          <w:szCs w:val="22"/>
        </w:rPr>
        <w:t xml:space="preserve">, a to </w:t>
      </w:r>
      <w:r w:rsidRPr="00461EF3">
        <w:rPr>
          <w:rFonts w:asciiTheme="minorHAnsi" w:hAnsiTheme="minorHAnsi" w:cstheme="minorHAnsi"/>
          <w:sz w:val="22"/>
          <w:szCs w:val="22"/>
        </w:rPr>
        <w:t xml:space="preserve">včetně stanovení </w:t>
      </w:r>
      <w:r>
        <w:rPr>
          <w:rFonts w:asciiTheme="minorHAnsi" w:hAnsiTheme="minorHAnsi" w:cstheme="minorHAnsi"/>
          <w:sz w:val="22"/>
          <w:szCs w:val="22"/>
        </w:rPr>
        <w:t xml:space="preserve">přiměřeného </w:t>
      </w:r>
      <w:r w:rsidRPr="00461EF3">
        <w:rPr>
          <w:rFonts w:asciiTheme="minorHAnsi" w:hAnsiTheme="minorHAnsi" w:cstheme="minorHAnsi"/>
          <w:sz w:val="22"/>
          <w:szCs w:val="22"/>
        </w:rPr>
        <w:t>sankčního mechanismu.</w:t>
      </w:r>
    </w:p>
    <w:p w14:paraId="2F4D6CD8" w14:textId="48556339" w:rsidR="00461EF3" w:rsidRDefault="00461EF3" w:rsidP="00762C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ECC69DC" w14:textId="5305E2D4" w:rsidR="00461EF3" w:rsidRDefault="00461EF3" w:rsidP="00762C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3DBCAEA" w14:textId="77777777" w:rsidR="00461EF3" w:rsidRPr="00461EF3" w:rsidRDefault="00461EF3" w:rsidP="00762C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77F16F7" w14:textId="4DE89769" w:rsidR="002B48CD" w:rsidRDefault="002B48CD" w:rsidP="00762C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762C1A">
        <w:rPr>
          <w:rFonts w:asciiTheme="minorHAnsi" w:hAnsiTheme="minorHAnsi" w:cstheme="minorHAnsi"/>
          <w:i/>
          <w:iCs/>
          <w:sz w:val="20"/>
          <w:szCs w:val="20"/>
        </w:rPr>
        <w:t xml:space="preserve">Kalendář Ministerstva zemědělství </w:t>
      </w:r>
      <w:r w:rsidRPr="00762C1A">
        <w:rPr>
          <w:rFonts w:asciiTheme="minorHAnsi" w:hAnsiTheme="minorHAnsi" w:cstheme="minorHAnsi"/>
          <w:b/>
          <w:bCs/>
          <w:i/>
          <w:iCs/>
          <w:sz w:val="20"/>
          <w:szCs w:val="20"/>
        </w:rPr>
        <w:t>Období sklizně a doba skladování ovoce a zeleniny</w:t>
      </w:r>
      <w:r w:rsidR="005C7F24" w:rsidRPr="00762C1A">
        <w:rPr>
          <w:rFonts w:asciiTheme="minorHAnsi" w:hAnsiTheme="minorHAnsi" w:cstheme="minorHAnsi"/>
          <w:i/>
          <w:iCs/>
          <w:sz w:val="20"/>
          <w:szCs w:val="20"/>
        </w:rPr>
        <w:t xml:space="preserve"> ze dne 28.4.2021</w:t>
      </w:r>
      <w:r w:rsidR="008F0B3A" w:rsidRPr="00762C1A">
        <w:rPr>
          <w:rFonts w:asciiTheme="minorHAnsi" w:hAnsiTheme="minorHAnsi" w:cstheme="minorHAnsi"/>
          <w:i/>
          <w:iCs/>
          <w:sz w:val="20"/>
          <w:szCs w:val="20"/>
        </w:rPr>
        <w:t>, aktualizovaný v březnu 2022</w:t>
      </w:r>
    </w:p>
    <w:p w14:paraId="6F057268" w14:textId="77777777" w:rsidR="00B44323" w:rsidRPr="00762C1A" w:rsidRDefault="00B44323" w:rsidP="00762C1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5"/>
        <w:gridCol w:w="2782"/>
        <w:gridCol w:w="3245"/>
      </w:tblGrid>
      <w:tr w:rsidR="008F0B3A" w:rsidRPr="00762C1A" w14:paraId="40D1EE3F" w14:textId="77777777" w:rsidTr="00E8457C"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4C02FB3" w14:textId="77777777" w:rsidR="008F0B3A" w:rsidRPr="00762C1A" w:rsidRDefault="008F0B3A" w:rsidP="00E8457C">
            <w:pPr>
              <w:spacing w:before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2C1A">
              <w:rPr>
                <w:rFonts w:cstheme="minorHAnsi"/>
                <w:b/>
                <w:sz w:val="20"/>
                <w:szCs w:val="20"/>
              </w:rPr>
              <w:t>Druh</w:t>
            </w:r>
          </w:p>
        </w:tc>
        <w:tc>
          <w:tcPr>
            <w:tcW w:w="2782" w:type="dxa"/>
            <w:tcBorders>
              <w:top w:val="double" w:sz="4" w:space="0" w:color="auto"/>
              <w:bottom w:val="double" w:sz="4" w:space="0" w:color="auto"/>
            </w:tcBorders>
          </w:tcPr>
          <w:p w14:paraId="3BF2CC28" w14:textId="77777777" w:rsidR="008F0B3A" w:rsidRPr="00762C1A" w:rsidRDefault="008F0B3A" w:rsidP="00E8457C">
            <w:pPr>
              <w:spacing w:before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2C1A">
              <w:rPr>
                <w:rFonts w:cstheme="minorHAnsi"/>
                <w:b/>
                <w:sz w:val="20"/>
                <w:szCs w:val="20"/>
              </w:rPr>
              <w:t>Doba dozrávání a sklizně</w:t>
            </w:r>
          </w:p>
        </w:tc>
        <w:tc>
          <w:tcPr>
            <w:tcW w:w="3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EE41C" w14:textId="77777777" w:rsidR="008F0B3A" w:rsidRPr="00762C1A" w:rsidRDefault="008F0B3A" w:rsidP="00E8457C">
            <w:pPr>
              <w:spacing w:before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2C1A">
              <w:rPr>
                <w:rFonts w:cstheme="minorHAnsi"/>
                <w:b/>
                <w:sz w:val="20"/>
                <w:szCs w:val="20"/>
              </w:rPr>
              <w:t>Doba skladování</w:t>
            </w:r>
          </w:p>
        </w:tc>
      </w:tr>
      <w:tr w:rsidR="008F0B3A" w:rsidRPr="00762C1A" w14:paraId="35598E76" w14:textId="77777777" w:rsidTr="00E8457C">
        <w:tc>
          <w:tcPr>
            <w:tcW w:w="3015" w:type="dxa"/>
            <w:tcBorders>
              <w:top w:val="double" w:sz="4" w:space="0" w:color="auto"/>
              <w:left w:val="double" w:sz="4" w:space="0" w:color="auto"/>
            </w:tcBorders>
          </w:tcPr>
          <w:p w14:paraId="50ADCC44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Angrešt</w:t>
            </w:r>
          </w:p>
        </w:tc>
        <w:tc>
          <w:tcPr>
            <w:tcW w:w="2782" w:type="dxa"/>
            <w:tcBorders>
              <w:top w:val="double" w:sz="4" w:space="0" w:color="auto"/>
            </w:tcBorders>
          </w:tcPr>
          <w:p w14:paraId="36821D54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- srpen</w:t>
            </w:r>
          </w:p>
        </w:tc>
        <w:tc>
          <w:tcPr>
            <w:tcW w:w="3245" w:type="dxa"/>
            <w:tcBorders>
              <w:top w:val="double" w:sz="4" w:space="0" w:color="auto"/>
              <w:right w:val="double" w:sz="4" w:space="0" w:color="auto"/>
            </w:tcBorders>
          </w:tcPr>
          <w:p w14:paraId="38ABE413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651868E5" w14:textId="77777777" w:rsidTr="00E8457C">
        <w:tc>
          <w:tcPr>
            <w:tcW w:w="3015" w:type="dxa"/>
            <w:tcBorders>
              <w:left w:val="double" w:sz="4" w:space="0" w:color="auto"/>
              <w:bottom w:val="single" w:sz="4" w:space="0" w:color="auto"/>
            </w:tcBorders>
          </w:tcPr>
          <w:p w14:paraId="47BB0B60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Broskve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DB038CA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- říjen</w:t>
            </w:r>
          </w:p>
        </w:tc>
        <w:tc>
          <w:tcPr>
            <w:tcW w:w="3245" w:type="dxa"/>
            <w:tcBorders>
              <w:bottom w:val="single" w:sz="4" w:space="0" w:color="auto"/>
              <w:right w:val="double" w:sz="4" w:space="0" w:color="auto"/>
            </w:tcBorders>
          </w:tcPr>
          <w:p w14:paraId="1C7F9233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331AFE69" w14:textId="77777777" w:rsidTr="00E8457C">
        <w:tc>
          <w:tcPr>
            <w:tcW w:w="3015" w:type="dxa"/>
            <w:tcBorders>
              <w:top w:val="single" w:sz="4" w:space="0" w:color="auto"/>
              <w:left w:val="double" w:sz="4" w:space="0" w:color="auto"/>
            </w:tcBorders>
          </w:tcPr>
          <w:p w14:paraId="747D0622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Hrušky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782" w:type="dxa"/>
            <w:tcBorders>
              <w:top w:val="single" w:sz="4" w:space="0" w:color="auto"/>
            </w:tcBorders>
          </w:tcPr>
          <w:p w14:paraId="7B614A9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– říjen</w:t>
            </w:r>
          </w:p>
        </w:tc>
        <w:tc>
          <w:tcPr>
            <w:tcW w:w="3245" w:type="dxa"/>
            <w:tcBorders>
              <w:top w:val="single" w:sz="4" w:space="0" w:color="auto"/>
              <w:right w:val="double" w:sz="4" w:space="0" w:color="auto"/>
            </w:tcBorders>
          </w:tcPr>
          <w:p w14:paraId="5E77C05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Do května</w:t>
            </w:r>
          </w:p>
        </w:tc>
      </w:tr>
      <w:tr w:rsidR="008F0B3A" w:rsidRPr="00762C1A" w14:paraId="56D3EEBA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2D9EC116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Jablka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782" w:type="dxa"/>
          </w:tcPr>
          <w:p w14:paraId="3E6232A6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-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583DD2FC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Po celý rok</w:t>
            </w:r>
          </w:p>
        </w:tc>
      </w:tr>
      <w:tr w:rsidR="008F0B3A" w:rsidRPr="00762C1A" w14:paraId="34DF7DAF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1B7A45F7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Jahody</w:t>
            </w:r>
          </w:p>
        </w:tc>
        <w:tc>
          <w:tcPr>
            <w:tcW w:w="2782" w:type="dxa"/>
          </w:tcPr>
          <w:p w14:paraId="3CDAD9E4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Květen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32E5CC68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1688A9BF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7CE57C7C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Meruňky</w:t>
            </w:r>
          </w:p>
        </w:tc>
        <w:tc>
          <w:tcPr>
            <w:tcW w:w="2782" w:type="dxa"/>
          </w:tcPr>
          <w:p w14:paraId="0AE5A00E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– srpen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639E811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2C9E07EF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13E4C880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Třešně</w:t>
            </w:r>
          </w:p>
        </w:tc>
        <w:tc>
          <w:tcPr>
            <w:tcW w:w="2782" w:type="dxa"/>
          </w:tcPr>
          <w:p w14:paraId="4AEC8E3F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– červenec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7019E61E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02210AE0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45A31931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Višně</w:t>
            </w:r>
          </w:p>
        </w:tc>
        <w:tc>
          <w:tcPr>
            <w:tcW w:w="2782" w:type="dxa"/>
          </w:tcPr>
          <w:p w14:paraId="1D0A3D93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– srpen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CE902E6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1510D3DF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48AAD445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Švestky</w:t>
            </w:r>
          </w:p>
        </w:tc>
        <w:tc>
          <w:tcPr>
            <w:tcW w:w="2782" w:type="dxa"/>
          </w:tcPr>
          <w:p w14:paraId="5C9E2AF1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3AE24228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Do prosince</w:t>
            </w:r>
          </w:p>
        </w:tc>
      </w:tr>
      <w:tr w:rsidR="008F0B3A" w:rsidRPr="00762C1A" w14:paraId="7FA51AA2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419CD59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Rybíz</w:t>
            </w:r>
          </w:p>
        </w:tc>
        <w:tc>
          <w:tcPr>
            <w:tcW w:w="2782" w:type="dxa"/>
          </w:tcPr>
          <w:p w14:paraId="38BB2247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– srpen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7E1ED382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5BFDC818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7BFBB527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Maliny, ostružiny</w:t>
            </w:r>
          </w:p>
        </w:tc>
        <w:tc>
          <w:tcPr>
            <w:tcW w:w="2782" w:type="dxa"/>
          </w:tcPr>
          <w:p w14:paraId="0261A690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773F8C7E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2F6D7792" w14:textId="77777777" w:rsidTr="00E8457C">
        <w:trPr>
          <w:trHeight w:val="220"/>
        </w:trPr>
        <w:tc>
          <w:tcPr>
            <w:tcW w:w="904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1F2171D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8F0B3A" w:rsidRPr="00762C1A" w14:paraId="3FD189C5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1590F32F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Brokolice</w:t>
            </w:r>
          </w:p>
        </w:tc>
        <w:tc>
          <w:tcPr>
            <w:tcW w:w="2782" w:type="dxa"/>
          </w:tcPr>
          <w:p w14:paraId="74CE0F10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024D37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Do konce listopadu</w:t>
            </w:r>
          </w:p>
        </w:tc>
      </w:tr>
      <w:tr w:rsidR="008F0B3A" w:rsidRPr="00762C1A" w14:paraId="4CA14E00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649F28F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Celer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48F3D390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4D0825DC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Do konce května</w:t>
            </w:r>
          </w:p>
        </w:tc>
      </w:tr>
      <w:tr w:rsidR="008F0B3A" w:rsidRPr="00762C1A" w14:paraId="75F6763E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633A311C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Cibule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4A7AFA94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Duben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6AEBDFD2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Po celý rok</w:t>
            </w:r>
          </w:p>
        </w:tc>
      </w:tr>
      <w:tr w:rsidR="008F0B3A" w:rsidRPr="00762C1A" w14:paraId="3A96A8D4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0B232B94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Česnek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5F4B7467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 xml:space="preserve">Červen - červenec 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6CBD70A0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Po celý rok</w:t>
            </w:r>
          </w:p>
        </w:tc>
      </w:tr>
      <w:tr w:rsidR="008F0B3A" w:rsidRPr="00762C1A" w14:paraId="6718A619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40D7ACD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 xml:space="preserve">Tykve/dýně </w:t>
            </w:r>
            <w:proofErr w:type="spellStart"/>
            <w:r w:rsidRPr="00762C1A">
              <w:rPr>
                <w:rFonts w:cstheme="minorHAnsi"/>
                <w:sz w:val="20"/>
                <w:szCs w:val="20"/>
              </w:rPr>
              <w:t>hokkaido</w:t>
            </w:r>
            <w:proofErr w:type="spellEnd"/>
          </w:p>
        </w:tc>
        <w:tc>
          <w:tcPr>
            <w:tcW w:w="2782" w:type="dxa"/>
          </w:tcPr>
          <w:p w14:paraId="2D0EE6E3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Srpen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FBC5514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Do konce roku, max. do ledna</w:t>
            </w:r>
          </w:p>
        </w:tc>
      </w:tr>
      <w:tr w:rsidR="008F0B3A" w:rsidRPr="00762C1A" w14:paraId="2D847C38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37A8F203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Fazolové lusky</w:t>
            </w:r>
          </w:p>
        </w:tc>
        <w:tc>
          <w:tcPr>
            <w:tcW w:w="2782" w:type="dxa"/>
          </w:tcPr>
          <w:p w14:paraId="67592A44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62B74FFD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311DEB63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4E9E4BFB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Hrách</w:t>
            </w:r>
          </w:p>
        </w:tc>
        <w:tc>
          <w:tcPr>
            <w:tcW w:w="2782" w:type="dxa"/>
          </w:tcPr>
          <w:p w14:paraId="29D5BBA5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– srpen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078C6C28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4DC8FA6A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63DBF8EC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Chřest</w:t>
            </w:r>
          </w:p>
        </w:tc>
        <w:tc>
          <w:tcPr>
            <w:tcW w:w="2782" w:type="dxa"/>
          </w:tcPr>
          <w:p w14:paraId="08E96C46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Duben - červen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7DEB7A8A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3AADB8C2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323B9F22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Kapusta hlávková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3454A10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DB2AD43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Do března</w:t>
            </w:r>
          </w:p>
        </w:tc>
      </w:tr>
      <w:tr w:rsidR="008F0B3A" w:rsidRPr="00762C1A" w14:paraId="74F7A07B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3595C704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Kapusta růžičková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4E00A471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Září – březen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09B1618A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Do dubna</w:t>
            </w:r>
          </w:p>
        </w:tc>
      </w:tr>
      <w:tr w:rsidR="008F0B3A" w:rsidRPr="00762C1A" w14:paraId="14C9022D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5AD4751C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Kedlubny</w:t>
            </w:r>
          </w:p>
        </w:tc>
        <w:tc>
          <w:tcPr>
            <w:tcW w:w="2782" w:type="dxa"/>
          </w:tcPr>
          <w:p w14:paraId="239D98B4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Květen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6FF7E996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Skladuje se pouze odrůda Gigant</w:t>
            </w:r>
          </w:p>
        </w:tc>
      </w:tr>
      <w:tr w:rsidR="008F0B3A" w:rsidRPr="00762C1A" w14:paraId="5348A5D6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7E65345D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Květák</w:t>
            </w:r>
          </w:p>
        </w:tc>
        <w:tc>
          <w:tcPr>
            <w:tcW w:w="2782" w:type="dxa"/>
          </w:tcPr>
          <w:p w14:paraId="0B96C096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3166E414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Max. 10 dní</w:t>
            </w:r>
          </w:p>
        </w:tc>
      </w:tr>
      <w:tr w:rsidR="008F0B3A" w:rsidRPr="00762C1A" w14:paraId="123DE3F4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250EE307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Meloun</w:t>
            </w:r>
          </w:p>
        </w:tc>
        <w:tc>
          <w:tcPr>
            <w:tcW w:w="2782" w:type="dxa"/>
          </w:tcPr>
          <w:p w14:paraId="472846AE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6F2C5175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Září – říjen</w:t>
            </w:r>
          </w:p>
        </w:tc>
      </w:tr>
      <w:tr w:rsidR="008F0B3A" w:rsidRPr="00762C1A" w14:paraId="5F9CB829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6B5EB13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Mrkev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2AC1D0A5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686E0402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Po celý rok</w:t>
            </w:r>
          </w:p>
        </w:tc>
      </w:tr>
      <w:tr w:rsidR="008F0B3A" w:rsidRPr="00762C1A" w14:paraId="1E2B24D5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1A51EB44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Okurky</w:t>
            </w:r>
          </w:p>
        </w:tc>
        <w:tc>
          <w:tcPr>
            <w:tcW w:w="2782" w:type="dxa"/>
          </w:tcPr>
          <w:p w14:paraId="53BB5888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– září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55404886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Max. 1 týden</w:t>
            </w:r>
          </w:p>
        </w:tc>
      </w:tr>
      <w:tr w:rsidR="008F0B3A" w:rsidRPr="00762C1A" w14:paraId="14B1E3C3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7830C54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Paprika</w:t>
            </w:r>
          </w:p>
        </w:tc>
        <w:tc>
          <w:tcPr>
            <w:tcW w:w="2782" w:type="dxa"/>
          </w:tcPr>
          <w:p w14:paraId="020D6D6C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582B6AED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5334C7B4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077B7C45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Petržel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275B210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6E0F120F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Do května</w:t>
            </w:r>
          </w:p>
        </w:tc>
      </w:tr>
      <w:tr w:rsidR="008F0B3A" w:rsidRPr="00762C1A" w14:paraId="52E591A5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2ADE20C7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Pórek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269C4AB6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54EAE87B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Po celý rok</w:t>
            </w:r>
          </w:p>
        </w:tc>
      </w:tr>
      <w:tr w:rsidR="008F0B3A" w:rsidRPr="00762C1A" w14:paraId="7211D4A1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4C11546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Rajčata – polní</w:t>
            </w:r>
          </w:p>
        </w:tc>
        <w:tc>
          <w:tcPr>
            <w:tcW w:w="2782" w:type="dxa"/>
          </w:tcPr>
          <w:p w14:paraId="4FE02872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-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657C7142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16A9998F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311714A8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Ředkev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5D8047B9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Srpen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1D4C641E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Do ledna</w:t>
            </w:r>
          </w:p>
        </w:tc>
      </w:tr>
      <w:tr w:rsidR="008F0B3A" w:rsidRPr="00762C1A" w14:paraId="72A30188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0374C172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Ředkvičky</w:t>
            </w:r>
          </w:p>
        </w:tc>
        <w:tc>
          <w:tcPr>
            <w:tcW w:w="2782" w:type="dxa"/>
          </w:tcPr>
          <w:p w14:paraId="312DD243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Duben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45E80F62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Neskladují se</w:t>
            </w:r>
          </w:p>
        </w:tc>
      </w:tr>
      <w:tr w:rsidR="008F0B3A" w:rsidRPr="00762C1A" w14:paraId="48DEC6B2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727EC3ED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Červená řepa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042F4F51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26027F6A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Do května, od června nová sklizeň</w:t>
            </w:r>
          </w:p>
        </w:tc>
      </w:tr>
      <w:tr w:rsidR="008F0B3A" w:rsidRPr="00762C1A" w14:paraId="3510ACF6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2579758E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Saláty</w:t>
            </w:r>
          </w:p>
        </w:tc>
        <w:tc>
          <w:tcPr>
            <w:tcW w:w="2782" w:type="dxa"/>
          </w:tcPr>
          <w:p w14:paraId="3F9F88BA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Květen – říjen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664D0DA0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Neskladuje se</w:t>
            </w:r>
          </w:p>
        </w:tc>
      </w:tr>
      <w:tr w:rsidR="008F0B3A" w:rsidRPr="00762C1A" w14:paraId="6C35FFE9" w14:textId="77777777" w:rsidTr="00E8457C">
        <w:tc>
          <w:tcPr>
            <w:tcW w:w="3015" w:type="dxa"/>
            <w:tcBorders>
              <w:left w:val="double" w:sz="4" w:space="0" w:color="auto"/>
            </w:tcBorders>
          </w:tcPr>
          <w:p w14:paraId="5BC81A2E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Zelí hlávkové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</w:tcPr>
          <w:p w14:paraId="26A1351F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Červenec – listopad</w:t>
            </w:r>
          </w:p>
        </w:tc>
        <w:tc>
          <w:tcPr>
            <w:tcW w:w="3245" w:type="dxa"/>
            <w:tcBorders>
              <w:right w:val="double" w:sz="4" w:space="0" w:color="auto"/>
            </w:tcBorders>
          </w:tcPr>
          <w:p w14:paraId="117FBB02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Do dubna</w:t>
            </w:r>
          </w:p>
        </w:tc>
      </w:tr>
      <w:tr w:rsidR="008F0B3A" w:rsidRPr="00762C1A" w14:paraId="407F6933" w14:textId="77777777" w:rsidTr="00E8457C">
        <w:tc>
          <w:tcPr>
            <w:tcW w:w="3015" w:type="dxa"/>
            <w:tcBorders>
              <w:left w:val="double" w:sz="4" w:space="0" w:color="auto"/>
              <w:bottom w:val="double" w:sz="4" w:space="0" w:color="auto"/>
            </w:tcBorders>
          </w:tcPr>
          <w:p w14:paraId="6EA772B8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  <w:vertAlign w:val="superscript"/>
              </w:rPr>
            </w:pPr>
            <w:r w:rsidRPr="00762C1A">
              <w:rPr>
                <w:rFonts w:cstheme="minorHAnsi"/>
                <w:sz w:val="20"/>
                <w:szCs w:val="20"/>
              </w:rPr>
              <w:t>Zelí pekingské</w:t>
            </w:r>
            <w:r w:rsidRPr="00762C1A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82" w:type="dxa"/>
            <w:tcBorders>
              <w:bottom w:val="double" w:sz="4" w:space="0" w:color="auto"/>
            </w:tcBorders>
          </w:tcPr>
          <w:p w14:paraId="28E8FE66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>Září – říjen</w:t>
            </w:r>
          </w:p>
        </w:tc>
        <w:tc>
          <w:tcPr>
            <w:tcW w:w="3245" w:type="dxa"/>
            <w:tcBorders>
              <w:bottom w:val="double" w:sz="4" w:space="0" w:color="auto"/>
              <w:right w:val="double" w:sz="4" w:space="0" w:color="auto"/>
            </w:tcBorders>
          </w:tcPr>
          <w:p w14:paraId="0D7444C8" w14:textId="77777777" w:rsidR="008F0B3A" w:rsidRPr="00762C1A" w:rsidRDefault="008F0B3A" w:rsidP="00E845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62C1A">
              <w:rPr>
                <w:rFonts w:cstheme="minorHAnsi"/>
                <w:sz w:val="20"/>
                <w:szCs w:val="20"/>
              </w:rPr>
              <w:t xml:space="preserve">Do března </w:t>
            </w:r>
          </w:p>
        </w:tc>
      </w:tr>
    </w:tbl>
    <w:p w14:paraId="33763E7A" w14:textId="5F351381" w:rsidR="008F0B3A" w:rsidRPr="00762C1A" w:rsidRDefault="008F0B3A" w:rsidP="008F0B3A">
      <w:pPr>
        <w:tabs>
          <w:tab w:val="left" w:pos="2604"/>
        </w:tabs>
        <w:spacing w:after="0" w:line="240" w:lineRule="auto"/>
        <w:ind w:left="992" w:hanging="992"/>
        <w:rPr>
          <w:rFonts w:cstheme="minorHAnsi"/>
          <w:iCs/>
          <w:sz w:val="18"/>
          <w:szCs w:val="18"/>
        </w:rPr>
      </w:pPr>
      <w:r w:rsidRPr="00762C1A">
        <w:rPr>
          <w:rFonts w:cstheme="minorHAnsi"/>
          <w:iCs/>
          <w:sz w:val="18"/>
          <w:szCs w:val="18"/>
        </w:rPr>
        <w:t xml:space="preserve">Poznámka: </w:t>
      </w:r>
      <w:r w:rsidR="00F745C2" w:rsidRPr="00762C1A">
        <w:rPr>
          <w:rFonts w:cstheme="minorHAnsi"/>
          <w:iCs/>
          <w:sz w:val="18"/>
          <w:szCs w:val="18"/>
        </w:rPr>
        <w:tab/>
      </w:r>
      <w:r w:rsidRPr="00762C1A">
        <w:rPr>
          <w:rFonts w:cstheme="minorHAnsi"/>
          <w:iCs/>
          <w:sz w:val="18"/>
          <w:szCs w:val="18"/>
          <w:vertAlign w:val="superscript"/>
        </w:rPr>
        <w:t xml:space="preserve">1) </w:t>
      </w:r>
      <w:r w:rsidRPr="00762C1A">
        <w:rPr>
          <w:rFonts w:cstheme="minorHAnsi"/>
          <w:iCs/>
          <w:sz w:val="18"/>
          <w:szCs w:val="18"/>
        </w:rPr>
        <w:t>produkty jsou skladovány - sklady chlazené, sklady s řízenou atmosférou (CA)</w:t>
      </w:r>
    </w:p>
    <w:p w14:paraId="3BE807D7" w14:textId="6CA419B5" w:rsidR="002B48CD" w:rsidRPr="00762C1A" w:rsidRDefault="008F0B3A" w:rsidP="00762C1A">
      <w:pPr>
        <w:tabs>
          <w:tab w:val="left" w:pos="1134"/>
          <w:tab w:val="left" w:pos="2604"/>
        </w:tabs>
        <w:spacing w:after="0" w:line="240" w:lineRule="auto"/>
        <w:ind w:left="992" w:hanging="992"/>
        <w:rPr>
          <w:rFonts w:cstheme="minorHAnsi"/>
          <w:sz w:val="20"/>
          <w:szCs w:val="20"/>
        </w:rPr>
      </w:pPr>
      <w:r w:rsidRPr="00762C1A">
        <w:rPr>
          <w:rFonts w:cstheme="minorHAnsi"/>
          <w:iCs/>
          <w:sz w:val="18"/>
          <w:szCs w:val="18"/>
        </w:rPr>
        <w:tab/>
      </w:r>
      <w:r w:rsidRPr="00762C1A">
        <w:rPr>
          <w:rFonts w:cstheme="minorHAnsi"/>
          <w:iCs/>
          <w:sz w:val="18"/>
          <w:szCs w:val="18"/>
          <w:vertAlign w:val="superscript"/>
        </w:rPr>
        <w:t>2)</w:t>
      </w:r>
      <w:r w:rsidRPr="00762C1A">
        <w:rPr>
          <w:rFonts w:cstheme="minorHAnsi"/>
          <w:iCs/>
          <w:sz w:val="18"/>
          <w:szCs w:val="18"/>
        </w:rPr>
        <w:t xml:space="preserve"> ULO sklady (Ultra </w:t>
      </w:r>
      <w:proofErr w:type="spellStart"/>
      <w:r w:rsidRPr="00762C1A">
        <w:rPr>
          <w:rFonts w:cstheme="minorHAnsi"/>
          <w:iCs/>
          <w:sz w:val="18"/>
          <w:szCs w:val="18"/>
        </w:rPr>
        <w:t>Low</w:t>
      </w:r>
      <w:proofErr w:type="spellEnd"/>
      <w:r w:rsidRPr="00762C1A">
        <w:rPr>
          <w:rFonts w:cstheme="minorHAnsi"/>
          <w:iCs/>
          <w:sz w:val="18"/>
          <w:szCs w:val="18"/>
        </w:rPr>
        <w:t xml:space="preserve"> Oxygen), CA sklady</w:t>
      </w:r>
    </w:p>
    <w:p w14:paraId="148AED60" w14:textId="77777777" w:rsidR="00CE7D1B" w:rsidRPr="00424D8C" w:rsidRDefault="00CE7D1B" w:rsidP="00056890">
      <w:pPr>
        <w:pStyle w:val="Normlnweb"/>
        <w:shd w:val="clear" w:color="auto" w:fill="FFFFFF"/>
        <w:spacing w:before="0" w:beforeAutospacing="0" w:after="120" w:afterAutospacing="0"/>
      </w:pPr>
    </w:p>
    <w:sectPr w:rsidR="00CE7D1B" w:rsidRPr="00424D8C" w:rsidSect="008253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60" w:right="1417" w:bottom="1417" w:left="1417" w:header="142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A5E6D" w14:textId="77777777" w:rsidR="00EB5FD7" w:rsidRDefault="00EB5FD7" w:rsidP="00F8300E">
      <w:pPr>
        <w:spacing w:after="0" w:line="240" w:lineRule="auto"/>
      </w:pPr>
      <w:r>
        <w:separator/>
      </w:r>
    </w:p>
  </w:endnote>
  <w:endnote w:type="continuationSeparator" w:id="0">
    <w:p w14:paraId="412ECD35" w14:textId="77777777" w:rsidR="00EB5FD7" w:rsidRDefault="00EB5FD7" w:rsidP="00F8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5029" w14:textId="77777777" w:rsidR="002766CE" w:rsidRDefault="002766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A0F5" w14:textId="77777777" w:rsidR="002547A5" w:rsidRDefault="002547A5" w:rsidP="001B7C34">
    <w:pPr>
      <w:pStyle w:val="Zpat"/>
      <w:pBdr>
        <w:bottom w:val="single" w:sz="6" w:space="1" w:color="92D050"/>
      </w:pBdr>
      <w:rPr>
        <w:rFonts w:ascii="Arial" w:hAnsi="Arial" w:cs="Arial"/>
        <w:sz w:val="16"/>
        <w:szCs w:val="16"/>
      </w:rPr>
    </w:pPr>
  </w:p>
  <w:p w14:paraId="0D34B87D" w14:textId="77777777" w:rsidR="00F8300E" w:rsidRDefault="00F8300E" w:rsidP="00F8300E">
    <w:pPr>
      <w:pStyle w:val="Zpat"/>
      <w:rPr>
        <w:rFonts w:ascii="Arial" w:hAnsi="Arial" w:cs="Arial"/>
        <w:sz w:val="16"/>
        <w:szCs w:val="16"/>
      </w:rPr>
    </w:pPr>
  </w:p>
  <w:p w14:paraId="3A965306" w14:textId="77777777" w:rsidR="00567A79" w:rsidRDefault="00F8300E" w:rsidP="00F8300E">
    <w:pPr>
      <w:pStyle w:val="Zpat"/>
      <w:rPr>
        <w:rFonts w:ascii="Arial" w:hAnsi="Arial" w:cs="Arial"/>
        <w:sz w:val="16"/>
        <w:szCs w:val="16"/>
      </w:rPr>
    </w:pPr>
    <w:r w:rsidRPr="00F8300E">
      <w:rPr>
        <w:rFonts w:ascii="Arial" w:hAnsi="Arial" w:cs="Arial"/>
        <w:sz w:val="16"/>
        <w:szCs w:val="16"/>
      </w:rPr>
      <w:t xml:space="preserve">Projekt </w:t>
    </w:r>
    <w:r w:rsidR="00567A79" w:rsidRPr="002547A5">
      <w:rPr>
        <w:rFonts w:ascii="Arial" w:hAnsi="Arial" w:cs="Arial"/>
        <w:i/>
        <w:sz w:val="16"/>
        <w:szCs w:val="16"/>
      </w:rPr>
      <w:t>Odpovědný přístup k veřejným nákupům – Strategické zadávání veřejných zakázek</w:t>
    </w:r>
    <w:r w:rsidR="00567A79">
      <w:rPr>
        <w:rFonts w:ascii="Arial" w:hAnsi="Arial" w:cs="Arial"/>
        <w:sz w:val="16"/>
        <w:szCs w:val="16"/>
      </w:rPr>
      <w:t xml:space="preserve"> </w:t>
    </w:r>
    <w:r w:rsidRPr="00F8300E">
      <w:rPr>
        <w:rFonts w:ascii="Arial" w:hAnsi="Arial" w:cs="Arial"/>
        <w:sz w:val="16"/>
        <w:szCs w:val="16"/>
      </w:rPr>
      <w:t xml:space="preserve">je spoluﬁnancován Evropskou unií. </w:t>
    </w:r>
  </w:p>
  <w:p w14:paraId="33FBEF30" w14:textId="77777777" w:rsidR="00567A79" w:rsidRDefault="00567A79" w:rsidP="00F8300E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Registrační číslo</w:t>
    </w:r>
    <w:r w:rsidRPr="00567A79">
      <w:rPr>
        <w:rFonts w:ascii="Arial" w:hAnsi="Arial" w:cs="Arial"/>
        <w:sz w:val="16"/>
        <w:szCs w:val="16"/>
      </w:rPr>
      <w:t>: CZ.03.4.74/0.0/0.0/15_025/0015727</w:t>
    </w:r>
  </w:p>
  <w:p w14:paraId="6313CE64" w14:textId="77777777" w:rsidR="00F8300E" w:rsidRDefault="00EB5FD7" w:rsidP="00F8300E">
    <w:pPr>
      <w:pStyle w:val="Zpat"/>
      <w:rPr>
        <w:rStyle w:val="Hypertextovodkaz"/>
        <w:rFonts w:ascii="Arial" w:hAnsi="Arial" w:cs="Arial"/>
        <w:sz w:val="16"/>
        <w:szCs w:val="16"/>
      </w:rPr>
    </w:pPr>
    <w:hyperlink r:id="rId1" w:history="1">
      <w:r w:rsidR="00F8300E">
        <w:rPr>
          <w:rStyle w:val="Hypertextovodkaz"/>
          <w:rFonts w:ascii="Arial" w:hAnsi="Arial" w:cs="Arial"/>
          <w:sz w:val="16"/>
          <w:szCs w:val="16"/>
        </w:rPr>
        <w:t>sovz@mpsv.cz</w:t>
      </w:r>
    </w:hyperlink>
  </w:p>
  <w:p w14:paraId="09E1B6E3" w14:textId="77777777" w:rsidR="00BF627A" w:rsidRDefault="00EB5FD7" w:rsidP="002547A5">
    <w:pPr>
      <w:pStyle w:val="Zpat"/>
      <w:tabs>
        <w:tab w:val="clear" w:pos="4536"/>
        <w:tab w:val="clear" w:pos="9072"/>
        <w:tab w:val="left" w:pos="1800"/>
      </w:tabs>
      <w:rPr>
        <w:rFonts w:ascii="Arial" w:hAnsi="Arial" w:cs="Arial"/>
        <w:sz w:val="16"/>
        <w:szCs w:val="16"/>
      </w:rPr>
    </w:pPr>
    <w:hyperlink r:id="rId2" w:history="1">
      <w:r w:rsidR="001B7C34" w:rsidRPr="0097766E">
        <w:rPr>
          <w:rStyle w:val="Hypertextovodkaz"/>
          <w:rFonts w:ascii="Arial" w:hAnsi="Arial" w:cs="Arial"/>
          <w:sz w:val="16"/>
          <w:szCs w:val="16"/>
        </w:rPr>
        <w:t>www.sovz.cz</w:t>
      </w:r>
    </w:hyperlink>
    <w:r w:rsidR="001B7C34">
      <w:rPr>
        <w:rFonts w:ascii="Arial" w:hAnsi="Arial" w:cs="Arial"/>
        <w:sz w:val="16"/>
        <w:szCs w:val="16"/>
      </w:rPr>
      <w:t xml:space="preserve"> </w:t>
    </w:r>
    <w:r w:rsidR="002547A5">
      <w:rPr>
        <w:rFonts w:ascii="Arial" w:hAnsi="Arial" w:cs="Arial"/>
        <w:sz w:val="16"/>
        <w:szCs w:val="16"/>
      </w:rPr>
      <w:tab/>
    </w:r>
  </w:p>
  <w:p w14:paraId="3331CCCD" w14:textId="77777777" w:rsidR="00F8300E" w:rsidRPr="00F8300E" w:rsidRDefault="00F8300E" w:rsidP="00F8300E">
    <w:pPr>
      <w:pStyle w:val="Zpat"/>
      <w:rPr>
        <w:rFonts w:ascii="Arial" w:hAnsi="Arial" w:cs="Arial"/>
        <w:sz w:val="16"/>
        <w:szCs w:val="16"/>
      </w:rPr>
    </w:pPr>
    <w:r w:rsidRPr="00F8300E">
      <w:rPr>
        <w:rFonts w:ascii="Arial" w:hAnsi="Arial" w:cs="Arial"/>
        <w:sz w:val="16"/>
        <w:szCs w:val="16"/>
      </w:rPr>
      <w:t>Ministerstvo práce a sociálních věcí, Na Poříčním právu 1/376, 128 01 Praha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4C70" w14:textId="77777777" w:rsidR="002766CE" w:rsidRDefault="002766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1EE5" w14:textId="77777777" w:rsidR="00EB5FD7" w:rsidRDefault="00EB5FD7" w:rsidP="00F8300E">
      <w:pPr>
        <w:spacing w:after="0" w:line="240" w:lineRule="auto"/>
      </w:pPr>
      <w:r>
        <w:separator/>
      </w:r>
    </w:p>
  </w:footnote>
  <w:footnote w:type="continuationSeparator" w:id="0">
    <w:p w14:paraId="220C6C7F" w14:textId="77777777" w:rsidR="00EB5FD7" w:rsidRDefault="00EB5FD7" w:rsidP="00F8300E">
      <w:pPr>
        <w:spacing w:after="0" w:line="240" w:lineRule="auto"/>
      </w:pPr>
      <w:r>
        <w:continuationSeparator/>
      </w:r>
    </w:p>
  </w:footnote>
  <w:footnote w:id="1">
    <w:p w14:paraId="3FE940AC" w14:textId="1DF35A69" w:rsidR="003F6438" w:rsidRPr="003F6438" w:rsidRDefault="003F6438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F6438">
        <w:rPr>
          <w:rFonts w:cstheme="minorHAnsi"/>
          <w:sz w:val="18"/>
          <w:szCs w:val="18"/>
        </w:rPr>
        <w:t xml:space="preserve">Příkladem mohou být nákupy </w:t>
      </w:r>
      <w:r w:rsidR="00D77A7E">
        <w:rPr>
          <w:rFonts w:cstheme="minorHAnsi"/>
          <w:sz w:val="18"/>
          <w:szCs w:val="18"/>
        </w:rPr>
        <w:t xml:space="preserve">měst v Itálii a Francii do stravovacích zařízení zadavatelů, jako jsou školy, nemocnice, pečovatelské domy apod., ale </w:t>
      </w:r>
      <w:r w:rsidR="00C00485">
        <w:rPr>
          <w:rFonts w:cstheme="minorHAnsi"/>
          <w:sz w:val="18"/>
          <w:szCs w:val="18"/>
        </w:rPr>
        <w:t xml:space="preserve">obdobně nakupuje </w:t>
      </w:r>
      <w:r w:rsidR="00D77A7E">
        <w:rPr>
          <w:rFonts w:cstheme="minorHAnsi"/>
          <w:sz w:val="18"/>
          <w:szCs w:val="18"/>
        </w:rPr>
        <w:t>i C</w:t>
      </w:r>
      <w:r w:rsidR="007A564E">
        <w:rPr>
          <w:rFonts w:cstheme="minorHAnsi"/>
          <w:sz w:val="18"/>
          <w:szCs w:val="18"/>
        </w:rPr>
        <w:t>ONSIP</w:t>
      </w:r>
      <w:r w:rsidR="00D77A7E">
        <w:rPr>
          <w:rFonts w:cstheme="minorHAnsi"/>
          <w:sz w:val="18"/>
          <w:szCs w:val="18"/>
        </w:rPr>
        <w:t xml:space="preserve">, </w:t>
      </w:r>
      <w:r w:rsidR="00762C1A">
        <w:rPr>
          <w:rFonts w:cstheme="minorHAnsi"/>
          <w:sz w:val="18"/>
          <w:szCs w:val="18"/>
        </w:rPr>
        <w:t xml:space="preserve">centrální zadavatel italské veřejné správy, </w:t>
      </w:r>
      <w:r w:rsidR="00D77A7E">
        <w:rPr>
          <w:rFonts w:cstheme="minorHAnsi"/>
          <w:sz w:val="18"/>
          <w:szCs w:val="18"/>
        </w:rPr>
        <w:t>kde býv</w:t>
      </w:r>
      <w:r w:rsidR="00316D9E">
        <w:rPr>
          <w:rFonts w:cstheme="minorHAnsi"/>
          <w:sz w:val="18"/>
          <w:szCs w:val="18"/>
        </w:rPr>
        <w:t>á využíván komplex</w:t>
      </w:r>
      <w:r w:rsidR="00D77A7E">
        <w:rPr>
          <w:rFonts w:cstheme="minorHAnsi"/>
          <w:sz w:val="18"/>
          <w:szCs w:val="18"/>
        </w:rPr>
        <w:t xml:space="preserve"> požadavk</w:t>
      </w:r>
      <w:r w:rsidR="00316D9E">
        <w:rPr>
          <w:rFonts w:cstheme="minorHAnsi"/>
          <w:sz w:val="18"/>
          <w:szCs w:val="18"/>
        </w:rPr>
        <w:t>ů</w:t>
      </w:r>
      <w:r w:rsidR="00D77A7E">
        <w:rPr>
          <w:rFonts w:cstheme="minorHAnsi"/>
          <w:sz w:val="18"/>
          <w:szCs w:val="18"/>
        </w:rPr>
        <w:t xml:space="preserve"> </w:t>
      </w:r>
      <w:r w:rsidR="00316D9E">
        <w:rPr>
          <w:rFonts w:cstheme="minorHAnsi"/>
          <w:sz w:val="18"/>
          <w:szCs w:val="18"/>
        </w:rPr>
        <w:t>a/nebo</w:t>
      </w:r>
      <w:r w:rsidR="00D77A7E">
        <w:rPr>
          <w:rFonts w:cstheme="minorHAnsi"/>
          <w:sz w:val="18"/>
          <w:szCs w:val="18"/>
        </w:rPr>
        <w:t xml:space="preserve"> kritéri</w:t>
      </w:r>
      <w:r w:rsidR="00316D9E">
        <w:rPr>
          <w:rFonts w:cstheme="minorHAnsi"/>
          <w:sz w:val="18"/>
          <w:szCs w:val="18"/>
        </w:rPr>
        <w:t>í</w:t>
      </w:r>
      <w:r w:rsidR="00D77A7E">
        <w:rPr>
          <w:rFonts w:cstheme="minorHAnsi"/>
          <w:sz w:val="18"/>
          <w:szCs w:val="18"/>
        </w:rPr>
        <w:t xml:space="preserve"> hodnocení </w:t>
      </w:r>
      <w:r w:rsidR="00316D9E">
        <w:rPr>
          <w:rFonts w:cstheme="minorHAnsi"/>
          <w:sz w:val="18"/>
          <w:szCs w:val="18"/>
        </w:rPr>
        <w:t>zahrnujících</w:t>
      </w:r>
      <w:r w:rsidR="00D77A7E">
        <w:rPr>
          <w:rFonts w:cstheme="minorHAnsi"/>
          <w:sz w:val="18"/>
          <w:szCs w:val="18"/>
        </w:rPr>
        <w:t xml:space="preserve"> </w:t>
      </w:r>
      <w:r w:rsidR="00636E79">
        <w:rPr>
          <w:rFonts w:cstheme="minorHAnsi"/>
          <w:sz w:val="18"/>
          <w:szCs w:val="18"/>
        </w:rPr>
        <w:t xml:space="preserve">poměrně vysoký </w:t>
      </w:r>
      <w:r w:rsidR="00D77A7E">
        <w:rPr>
          <w:rFonts w:cstheme="minorHAnsi"/>
          <w:sz w:val="18"/>
          <w:szCs w:val="18"/>
        </w:rPr>
        <w:t xml:space="preserve">podíl ekologické produkce, </w:t>
      </w:r>
      <w:r w:rsidRPr="003F6438">
        <w:rPr>
          <w:rFonts w:cstheme="minorHAnsi"/>
          <w:sz w:val="18"/>
          <w:szCs w:val="18"/>
        </w:rPr>
        <w:t>sezónnost ovoce a zeleniny</w:t>
      </w:r>
      <w:r w:rsidR="00D77A7E">
        <w:rPr>
          <w:rFonts w:cstheme="minorHAnsi"/>
          <w:sz w:val="18"/>
          <w:szCs w:val="18"/>
        </w:rPr>
        <w:t xml:space="preserve">, </w:t>
      </w:r>
      <w:r w:rsidR="00582908">
        <w:rPr>
          <w:rFonts w:cstheme="minorHAnsi"/>
          <w:sz w:val="18"/>
          <w:szCs w:val="18"/>
        </w:rPr>
        <w:t xml:space="preserve">ale i </w:t>
      </w:r>
      <w:r w:rsidR="00D77A7E">
        <w:rPr>
          <w:rFonts w:cstheme="minorHAnsi"/>
          <w:sz w:val="18"/>
          <w:szCs w:val="18"/>
        </w:rPr>
        <w:t>požadavky na lokálnost</w:t>
      </w:r>
      <w:r w:rsidR="00316D9E">
        <w:rPr>
          <w:rFonts w:cstheme="minorHAnsi"/>
          <w:sz w:val="18"/>
          <w:szCs w:val="18"/>
        </w:rPr>
        <w:t xml:space="preserve"> </w:t>
      </w:r>
      <w:r w:rsidR="00582908">
        <w:rPr>
          <w:rFonts w:cstheme="minorHAnsi"/>
          <w:sz w:val="18"/>
          <w:szCs w:val="18"/>
        </w:rPr>
        <w:t xml:space="preserve">potravin </w:t>
      </w:r>
      <w:r w:rsidR="00316D9E">
        <w:rPr>
          <w:rFonts w:cstheme="minorHAnsi"/>
          <w:sz w:val="18"/>
          <w:szCs w:val="18"/>
        </w:rPr>
        <w:t>(</w:t>
      </w:r>
      <w:r w:rsidR="007A564E">
        <w:rPr>
          <w:rFonts w:cstheme="minorHAnsi"/>
          <w:sz w:val="18"/>
          <w:szCs w:val="18"/>
        </w:rPr>
        <w:t xml:space="preserve">CONSIP v rámci hodnocení zvýhodňuje </w:t>
      </w:r>
      <w:r w:rsidR="00316D9E">
        <w:rPr>
          <w:rFonts w:cstheme="minorHAnsi"/>
          <w:sz w:val="18"/>
          <w:szCs w:val="18"/>
        </w:rPr>
        <w:t>dojezdovou vzdálenost z místa produkce</w:t>
      </w:r>
      <w:r w:rsidR="007A564E">
        <w:rPr>
          <w:rFonts w:cstheme="minorHAnsi"/>
          <w:sz w:val="18"/>
          <w:szCs w:val="18"/>
        </w:rPr>
        <w:t xml:space="preserve"> do 150 km</w:t>
      </w:r>
      <w:r w:rsidR="00316D9E">
        <w:rPr>
          <w:rFonts w:cstheme="minorHAnsi"/>
          <w:sz w:val="18"/>
          <w:szCs w:val="18"/>
        </w:rPr>
        <w:t>)</w:t>
      </w:r>
      <w:r w:rsidR="00D77A7E">
        <w:rPr>
          <w:rFonts w:cstheme="minorHAnsi"/>
          <w:sz w:val="18"/>
          <w:szCs w:val="18"/>
        </w:rPr>
        <w:t xml:space="preserve">, </w:t>
      </w:r>
      <w:r w:rsidR="007A564E">
        <w:rPr>
          <w:rFonts w:cstheme="minorHAnsi"/>
          <w:sz w:val="18"/>
          <w:szCs w:val="18"/>
        </w:rPr>
        <w:t>důraz je kladen i na</w:t>
      </w:r>
      <w:r w:rsidR="00BF63F7">
        <w:rPr>
          <w:rFonts w:cstheme="minorHAnsi"/>
          <w:sz w:val="18"/>
          <w:szCs w:val="18"/>
        </w:rPr>
        <w:t xml:space="preserve"> </w:t>
      </w:r>
      <w:r w:rsidR="007A564E">
        <w:rPr>
          <w:rFonts w:cstheme="minorHAnsi"/>
          <w:sz w:val="18"/>
          <w:szCs w:val="18"/>
        </w:rPr>
        <w:t>ekologičtější</w:t>
      </w:r>
      <w:r w:rsidR="00BF63F7">
        <w:rPr>
          <w:rFonts w:cstheme="minorHAnsi"/>
          <w:sz w:val="18"/>
          <w:szCs w:val="18"/>
        </w:rPr>
        <w:t xml:space="preserve"> dopravní prostředky</w:t>
      </w:r>
      <w:r w:rsidR="00F374CD">
        <w:rPr>
          <w:rFonts w:cstheme="minorHAnsi"/>
          <w:sz w:val="18"/>
          <w:szCs w:val="18"/>
        </w:rPr>
        <w:t xml:space="preserve"> a</w:t>
      </w:r>
      <w:r w:rsidR="00BF63F7">
        <w:rPr>
          <w:rFonts w:cstheme="minorHAnsi"/>
          <w:sz w:val="18"/>
          <w:szCs w:val="18"/>
        </w:rPr>
        <w:t xml:space="preserve"> efektivní logistik</w:t>
      </w:r>
      <w:r w:rsidR="007A564E">
        <w:rPr>
          <w:rFonts w:cstheme="minorHAnsi"/>
          <w:sz w:val="18"/>
          <w:szCs w:val="18"/>
        </w:rPr>
        <w:t>u</w:t>
      </w:r>
      <w:r w:rsidR="00D77A7E">
        <w:rPr>
          <w:rFonts w:cstheme="minorHAnsi"/>
          <w:sz w:val="18"/>
          <w:szCs w:val="18"/>
        </w:rPr>
        <w:t xml:space="preserve"> </w:t>
      </w:r>
      <w:r w:rsidR="00F374CD">
        <w:rPr>
          <w:rFonts w:cstheme="minorHAnsi"/>
          <w:sz w:val="18"/>
          <w:szCs w:val="18"/>
        </w:rPr>
        <w:t>pro</w:t>
      </w:r>
      <w:r w:rsidR="00D77A7E">
        <w:rPr>
          <w:rFonts w:cstheme="minorHAnsi"/>
          <w:sz w:val="18"/>
          <w:szCs w:val="18"/>
        </w:rPr>
        <w:t xml:space="preserve"> snížení emisí skleníkových plynů</w:t>
      </w:r>
      <w:r w:rsidR="00316D9E">
        <w:rPr>
          <w:rFonts w:cstheme="minorHAnsi"/>
          <w:sz w:val="18"/>
          <w:szCs w:val="18"/>
        </w:rPr>
        <w:t>, důležité je i proškolení zaměstnanců stravovacích zařízení v oblasti udržitelnosti</w:t>
      </w:r>
      <w:r w:rsidR="00BF63F7">
        <w:rPr>
          <w:rFonts w:cstheme="minorHAnsi"/>
          <w:sz w:val="18"/>
          <w:szCs w:val="18"/>
        </w:rPr>
        <w:t xml:space="preserve"> apod.</w:t>
      </w:r>
      <w:r w:rsidR="00D77A7E">
        <w:rPr>
          <w:rFonts w:cstheme="minorHAnsi"/>
          <w:sz w:val="18"/>
          <w:szCs w:val="18"/>
        </w:rPr>
        <w:t xml:space="preserve"> Podstatné je však zaměřit se na </w:t>
      </w:r>
      <w:r w:rsidR="00636E79">
        <w:rPr>
          <w:rFonts w:cstheme="minorHAnsi"/>
          <w:sz w:val="18"/>
          <w:szCs w:val="18"/>
        </w:rPr>
        <w:t xml:space="preserve">udržitelnost </w:t>
      </w:r>
      <w:r w:rsidR="00D77A7E">
        <w:rPr>
          <w:rFonts w:cstheme="minorHAnsi"/>
          <w:sz w:val="18"/>
          <w:szCs w:val="18"/>
        </w:rPr>
        <w:t>zemědělsk</w:t>
      </w:r>
      <w:r w:rsidR="00636E79">
        <w:rPr>
          <w:rFonts w:cstheme="minorHAnsi"/>
          <w:sz w:val="18"/>
          <w:szCs w:val="18"/>
        </w:rPr>
        <w:t>ého</w:t>
      </w:r>
      <w:r w:rsidR="00D77A7E">
        <w:rPr>
          <w:rFonts w:cstheme="minorHAnsi"/>
          <w:sz w:val="18"/>
          <w:szCs w:val="18"/>
        </w:rPr>
        <w:t xml:space="preserve"> systém</w:t>
      </w:r>
      <w:r w:rsidR="00636E79">
        <w:rPr>
          <w:rFonts w:cstheme="minorHAnsi"/>
          <w:sz w:val="18"/>
          <w:szCs w:val="18"/>
        </w:rPr>
        <w:t>u</w:t>
      </w:r>
      <w:r w:rsidR="00D77A7E">
        <w:rPr>
          <w:rFonts w:cstheme="minorHAnsi"/>
          <w:sz w:val="18"/>
          <w:szCs w:val="18"/>
        </w:rPr>
        <w:t>, ve kterém jsou potraviny produkovány.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DC42" w14:textId="77777777" w:rsidR="002766CE" w:rsidRDefault="002766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CB101" w14:textId="77777777" w:rsidR="00F8300E" w:rsidRDefault="00567A79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3B0A2" wp14:editId="206C0587">
          <wp:simplePos x="0" y="0"/>
          <wp:positionH relativeFrom="margin">
            <wp:posOffset>-171450</wp:posOffset>
          </wp:positionH>
          <wp:positionV relativeFrom="margin">
            <wp:posOffset>-821055</wp:posOffset>
          </wp:positionV>
          <wp:extent cx="6122670" cy="640080"/>
          <wp:effectExtent l="19050" t="0" r="0" b="0"/>
          <wp:wrapSquare wrapText="bothSides"/>
          <wp:docPr id="38" name="Obrázek 0" descr="SOVZ_hlavickovy_papir_navrh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VZ_hlavickovy_papir_navrh_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DF4C26" w14:textId="77777777" w:rsidR="00567A79" w:rsidRDefault="00567A79">
    <w:pPr>
      <w:pStyle w:val="Zhlav"/>
    </w:pPr>
  </w:p>
  <w:p w14:paraId="5779575F" w14:textId="77777777" w:rsidR="00567A79" w:rsidRDefault="00567A79">
    <w:pPr>
      <w:pStyle w:val="Zhlav"/>
    </w:pPr>
  </w:p>
  <w:p w14:paraId="6519C43B" w14:textId="77777777" w:rsidR="00567A79" w:rsidRDefault="00567A79">
    <w:pPr>
      <w:pStyle w:val="Zhlav"/>
    </w:pPr>
  </w:p>
  <w:p w14:paraId="2889FAC7" w14:textId="77777777" w:rsidR="00567A79" w:rsidRDefault="00567A79">
    <w:pPr>
      <w:pStyle w:val="Zhlav"/>
    </w:pPr>
  </w:p>
  <w:p w14:paraId="50667AFC" w14:textId="77777777" w:rsidR="00567A79" w:rsidRDefault="00567A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FD70" w14:textId="77777777" w:rsidR="002766CE" w:rsidRDefault="002766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6C4"/>
    <w:multiLevelType w:val="hybridMultilevel"/>
    <w:tmpl w:val="52CCB7E4"/>
    <w:lvl w:ilvl="0" w:tplc="958CB7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1110"/>
    <w:multiLevelType w:val="hybridMultilevel"/>
    <w:tmpl w:val="041E6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364C"/>
    <w:multiLevelType w:val="hybridMultilevel"/>
    <w:tmpl w:val="3462E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D34"/>
    <w:multiLevelType w:val="hybridMultilevel"/>
    <w:tmpl w:val="CE2AD9B6"/>
    <w:lvl w:ilvl="0" w:tplc="D85245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722"/>
    <w:multiLevelType w:val="hybridMultilevel"/>
    <w:tmpl w:val="6E6210B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CB"/>
    <w:rsid w:val="000245BB"/>
    <w:rsid w:val="00024902"/>
    <w:rsid w:val="00037B1C"/>
    <w:rsid w:val="00047D10"/>
    <w:rsid w:val="00056684"/>
    <w:rsid w:val="00056890"/>
    <w:rsid w:val="00066AAE"/>
    <w:rsid w:val="00070E65"/>
    <w:rsid w:val="00084807"/>
    <w:rsid w:val="000B35F8"/>
    <w:rsid w:val="000C3857"/>
    <w:rsid w:val="000D1C54"/>
    <w:rsid w:val="000D31A3"/>
    <w:rsid w:val="0010426E"/>
    <w:rsid w:val="001437DB"/>
    <w:rsid w:val="00146A0B"/>
    <w:rsid w:val="00156A37"/>
    <w:rsid w:val="00167170"/>
    <w:rsid w:val="00187A6F"/>
    <w:rsid w:val="001A6AC9"/>
    <w:rsid w:val="001B7C34"/>
    <w:rsid w:val="001E49C4"/>
    <w:rsid w:val="001E67A5"/>
    <w:rsid w:val="001F317A"/>
    <w:rsid w:val="00214211"/>
    <w:rsid w:val="00243192"/>
    <w:rsid w:val="002547A5"/>
    <w:rsid w:val="00262F9A"/>
    <w:rsid w:val="002766CE"/>
    <w:rsid w:val="002849E8"/>
    <w:rsid w:val="00294CBC"/>
    <w:rsid w:val="0029571D"/>
    <w:rsid w:val="002B1217"/>
    <w:rsid w:val="002B48CD"/>
    <w:rsid w:val="00316D9E"/>
    <w:rsid w:val="00320D42"/>
    <w:rsid w:val="003319D9"/>
    <w:rsid w:val="003429EC"/>
    <w:rsid w:val="00355114"/>
    <w:rsid w:val="0037412A"/>
    <w:rsid w:val="003856C8"/>
    <w:rsid w:val="003921C6"/>
    <w:rsid w:val="00394B88"/>
    <w:rsid w:val="003A09ED"/>
    <w:rsid w:val="003B7E21"/>
    <w:rsid w:val="003F6438"/>
    <w:rsid w:val="00422F53"/>
    <w:rsid w:val="00424D8C"/>
    <w:rsid w:val="00425C58"/>
    <w:rsid w:val="004314DF"/>
    <w:rsid w:val="004434CB"/>
    <w:rsid w:val="00461EF3"/>
    <w:rsid w:val="004B4556"/>
    <w:rsid w:val="004C24F2"/>
    <w:rsid w:val="00567A79"/>
    <w:rsid w:val="005719E9"/>
    <w:rsid w:val="00576436"/>
    <w:rsid w:val="00582908"/>
    <w:rsid w:val="005A4C2A"/>
    <w:rsid w:val="005C7F24"/>
    <w:rsid w:val="005D0787"/>
    <w:rsid w:val="005D08AE"/>
    <w:rsid w:val="005E07B6"/>
    <w:rsid w:val="005F75D0"/>
    <w:rsid w:val="00601680"/>
    <w:rsid w:val="00603731"/>
    <w:rsid w:val="00605976"/>
    <w:rsid w:val="006071D7"/>
    <w:rsid w:val="00612239"/>
    <w:rsid w:val="00632923"/>
    <w:rsid w:val="00636E79"/>
    <w:rsid w:val="006871E8"/>
    <w:rsid w:val="00696E97"/>
    <w:rsid w:val="006D3DDF"/>
    <w:rsid w:val="006D49EC"/>
    <w:rsid w:val="006E18DE"/>
    <w:rsid w:val="006F34FF"/>
    <w:rsid w:val="00762C1A"/>
    <w:rsid w:val="0076724E"/>
    <w:rsid w:val="0079089D"/>
    <w:rsid w:val="00796984"/>
    <w:rsid w:val="007A06CF"/>
    <w:rsid w:val="007A564E"/>
    <w:rsid w:val="007D0658"/>
    <w:rsid w:val="007E0F3B"/>
    <w:rsid w:val="007F2999"/>
    <w:rsid w:val="00816CE3"/>
    <w:rsid w:val="00821EDC"/>
    <w:rsid w:val="008253E7"/>
    <w:rsid w:val="00885C7B"/>
    <w:rsid w:val="00891B41"/>
    <w:rsid w:val="00892007"/>
    <w:rsid w:val="008C67A4"/>
    <w:rsid w:val="008F0B3A"/>
    <w:rsid w:val="00906214"/>
    <w:rsid w:val="00911765"/>
    <w:rsid w:val="00914B54"/>
    <w:rsid w:val="00925E5B"/>
    <w:rsid w:val="00941F7D"/>
    <w:rsid w:val="0095387F"/>
    <w:rsid w:val="009545C2"/>
    <w:rsid w:val="009E3C48"/>
    <w:rsid w:val="009F67D0"/>
    <w:rsid w:val="00A513B6"/>
    <w:rsid w:val="00A528F5"/>
    <w:rsid w:val="00AA139D"/>
    <w:rsid w:val="00AB747E"/>
    <w:rsid w:val="00AB7972"/>
    <w:rsid w:val="00AE4BED"/>
    <w:rsid w:val="00AF356E"/>
    <w:rsid w:val="00B07D22"/>
    <w:rsid w:val="00B26DFC"/>
    <w:rsid w:val="00B37BF9"/>
    <w:rsid w:val="00B43BC2"/>
    <w:rsid w:val="00B44323"/>
    <w:rsid w:val="00B524DF"/>
    <w:rsid w:val="00B67973"/>
    <w:rsid w:val="00B7149A"/>
    <w:rsid w:val="00B77531"/>
    <w:rsid w:val="00BF627A"/>
    <w:rsid w:val="00BF63F7"/>
    <w:rsid w:val="00C00485"/>
    <w:rsid w:val="00C07788"/>
    <w:rsid w:val="00C53D44"/>
    <w:rsid w:val="00C71C3E"/>
    <w:rsid w:val="00C77856"/>
    <w:rsid w:val="00C831BA"/>
    <w:rsid w:val="00CA73A3"/>
    <w:rsid w:val="00CC0095"/>
    <w:rsid w:val="00CE7D1B"/>
    <w:rsid w:val="00D03541"/>
    <w:rsid w:val="00D546D5"/>
    <w:rsid w:val="00D66D32"/>
    <w:rsid w:val="00D74BA1"/>
    <w:rsid w:val="00D77A7E"/>
    <w:rsid w:val="00D819A3"/>
    <w:rsid w:val="00D94AD1"/>
    <w:rsid w:val="00DA3D7F"/>
    <w:rsid w:val="00DA5ACF"/>
    <w:rsid w:val="00DA5B46"/>
    <w:rsid w:val="00DB339C"/>
    <w:rsid w:val="00DE59FE"/>
    <w:rsid w:val="00DF2C12"/>
    <w:rsid w:val="00E0719D"/>
    <w:rsid w:val="00E20A42"/>
    <w:rsid w:val="00E36784"/>
    <w:rsid w:val="00E41288"/>
    <w:rsid w:val="00E70634"/>
    <w:rsid w:val="00E73AE0"/>
    <w:rsid w:val="00EB5FD7"/>
    <w:rsid w:val="00EE390E"/>
    <w:rsid w:val="00EF0FC6"/>
    <w:rsid w:val="00F374CD"/>
    <w:rsid w:val="00F745C2"/>
    <w:rsid w:val="00F8300E"/>
    <w:rsid w:val="00FA558D"/>
    <w:rsid w:val="00FD6E7A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273CE"/>
  <w15:docId w15:val="{A795AD46-B725-49FB-BFB7-FE84C2C3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D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00E"/>
  </w:style>
  <w:style w:type="paragraph" w:styleId="Zpat">
    <w:name w:val="footer"/>
    <w:basedOn w:val="Normln"/>
    <w:link w:val="ZpatChar"/>
    <w:uiPriority w:val="99"/>
    <w:unhideWhenUsed/>
    <w:rsid w:val="00F8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00E"/>
  </w:style>
  <w:style w:type="paragraph" w:styleId="Textbubliny">
    <w:name w:val="Balloon Text"/>
    <w:basedOn w:val="Normln"/>
    <w:link w:val="TextbublinyChar"/>
    <w:uiPriority w:val="99"/>
    <w:semiHidden/>
    <w:unhideWhenUsed/>
    <w:rsid w:val="00F8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0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830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300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8300E"/>
    <w:pPr>
      <w:ind w:left="720"/>
      <w:contextualSpacing/>
    </w:pPr>
  </w:style>
  <w:style w:type="character" w:customStyle="1" w:styleId="st">
    <w:name w:val="st"/>
    <w:basedOn w:val="Standardnpsmoodstavce"/>
    <w:rsid w:val="00F8300E"/>
  </w:style>
  <w:style w:type="paragraph" w:styleId="Normlnweb">
    <w:name w:val="Normal (Web)"/>
    <w:basedOn w:val="Normln"/>
    <w:uiPriority w:val="99"/>
    <w:unhideWhenUsed/>
    <w:rsid w:val="0060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05976"/>
    <w:rPr>
      <w:b/>
      <w:bCs/>
    </w:rPr>
  </w:style>
  <w:style w:type="character" w:styleId="Zdraznn">
    <w:name w:val="Emphasis"/>
    <w:basedOn w:val="Standardnpsmoodstavce"/>
    <w:uiPriority w:val="20"/>
    <w:qFormat/>
    <w:rsid w:val="00605976"/>
    <w:rPr>
      <w:i/>
      <w:iCs/>
    </w:rPr>
  </w:style>
  <w:style w:type="table" w:styleId="Mkatabulky">
    <w:name w:val="Table Grid"/>
    <w:basedOn w:val="Normlntabulka"/>
    <w:uiPriority w:val="59"/>
    <w:rsid w:val="00424D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6AC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49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49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49C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F2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C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C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C12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7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vz.cz/temata/tema1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sovz.cz/predmety/udrzitelne-akce/" TargetMode="External"/><Relationship Id="rId17" Type="http://schemas.openxmlformats.org/officeDocument/2006/relationships/hyperlink" Target="https://eagri.cz/public/web/mze/potraviny/potravinarske-komodity/ovoce-a-zelenina/odbobi-sklizne-a-doba-skladovani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nvironment/gpp/eu_gpp_criteria_en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vz.cz/predmety/stravovani-kantyny-a-bistra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environment/gpp/eu_gpp_criteria_en.ht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environment/gpp/eu_gpp_criteria_en.ht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vz.cz" TargetMode="External"/><Relationship Id="rId1" Type="http://schemas.openxmlformats.org/officeDocument/2006/relationships/hyperlink" Target="mailto:sovz@mps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chvalkovska\Documents\Vlastn&#237;%20&#353;ablony%20Office\SOVZ%20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9AC2AE0C91444A82B674C7A0E5AC1" ma:contentTypeVersion="0" ma:contentTypeDescription="Vytvoří nový dokument" ma:contentTypeScope="" ma:versionID="17b500b96bd9182de85c9d162af05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75A80-21F0-4315-BC62-A40414108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1F06F-6C85-4819-A274-1B6F497EA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CB216-8DE6-4016-9133-BEBF49BF5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7BA071-A8E2-4AB6-8EED-4217E94BC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SOVZ hlavičkový papír</Template>
  <TotalTime>229</TotalTime>
  <Pages>4</Pages>
  <Words>1110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Chvalkovská Eva Ing. (MPSV)</dc:creator>
  <cp:lastModifiedBy>Dobrovodská Monika Mgr. (MPSV)</cp:lastModifiedBy>
  <cp:revision>4</cp:revision>
  <dcterms:created xsi:type="dcterms:W3CDTF">2022-06-03T07:15:00Z</dcterms:created>
  <dcterms:modified xsi:type="dcterms:W3CDTF">2022-06-03T11:04:00Z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0x010100B1F9AC2AE0C91444A82B674C7A0E5AC1</vt:lpwstr>
  </property>
</Properties>
</file>